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72" w:rsidRDefault="00F44D7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F44D72" w:rsidRDefault="00B0150B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Edital No. 007</w:t>
      </w:r>
      <w:r w:rsidR="000262FF">
        <w:rPr>
          <w:rFonts w:ascii="Arial Narrow" w:eastAsia="Arial Narrow" w:hAnsi="Arial Narrow" w:cs="Arial Narrow"/>
          <w:b/>
          <w:color w:val="000000"/>
          <w:sz w:val="28"/>
          <w:szCs w:val="28"/>
        </w:rPr>
        <w:t>/2020-PROFAR</w:t>
      </w:r>
    </w:p>
    <w:p w:rsidR="00F44D72" w:rsidRDefault="000262F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39" w:after="120" w:line="360" w:lineRule="auto"/>
        <w:ind w:left="102" w:right="108" w:firstLine="606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A Coordenação do Programa de Pós-Graduação em Assistência Farmacêutica – PROFAR, da Universidade Estadual de Maringá, no uso de suas atribuições legais, considerando o Decreto n.º 3.764, de 25 de outubro de 2004 e Termo de Convênio 074/2019, assinado em 28 de outubro de 2019, resolve:</w:t>
      </w:r>
    </w:p>
    <w:p w:rsidR="00F44D72" w:rsidRDefault="00F44D7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39" w:after="120" w:line="360" w:lineRule="auto"/>
        <w:ind w:left="102" w:right="108" w:firstLine="606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F44D72" w:rsidRDefault="000E69E4">
      <w:pPr>
        <w:pStyle w:val="normal0"/>
        <w:widowControl w:val="0"/>
        <w:numPr>
          <w:ilvl w:val="0"/>
          <w:numId w:val="1"/>
        </w:numPr>
        <w:tabs>
          <w:tab w:val="left" w:pos="709"/>
          <w:tab w:val="left" w:pos="113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hanging="56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Prorrogar até o dia </w:t>
      </w:r>
      <w:r w:rsidR="000262FF">
        <w:rPr>
          <w:rFonts w:ascii="Arial Narrow" w:eastAsia="Arial Narrow" w:hAnsi="Arial Narrow" w:cs="Arial Narrow"/>
          <w:sz w:val="24"/>
          <w:szCs w:val="24"/>
        </w:rPr>
        <w:t>2</w:t>
      </w:r>
      <w:r>
        <w:rPr>
          <w:rFonts w:ascii="Arial Narrow" w:eastAsia="Arial Narrow" w:hAnsi="Arial Narrow" w:cs="Arial Narrow"/>
          <w:sz w:val="24"/>
          <w:szCs w:val="24"/>
        </w:rPr>
        <w:t>0</w:t>
      </w:r>
      <w:r w:rsidR="000262FF">
        <w:rPr>
          <w:rFonts w:ascii="Arial Narrow" w:eastAsia="Arial Narrow" w:hAnsi="Arial Narrow" w:cs="Arial Narrow"/>
          <w:sz w:val="24"/>
          <w:szCs w:val="24"/>
        </w:rPr>
        <w:t xml:space="preserve"> de março de 2020 o prazo das inscrições para o processo seletivo do Mestrado Profissional em Assistência Farmacêutica - PROFAR de que trata o Edital n° 00</w:t>
      </w:r>
      <w:r w:rsidR="00470763">
        <w:rPr>
          <w:rFonts w:ascii="Arial Narrow" w:eastAsia="Arial Narrow" w:hAnsi="Arial Narrow" w:cs="Arial Narrow"/>
          <w:sz w:val="24"/>
          <w:szCs w:val="24"/>
        </w:rPr>
        <w:t>5</w:t>
      </w:r>
      <w:r w:rsidR="000262FF">
        <w:rPr>
          <w:rFonts w:ascii="Arial Narrow" w:eastAsia="Arial Narrow" w:hAnsi="Arial Narrow" w:cs="Arial Narrow"/>
          <w:sz w:val="24"/>
          <w:szCs w:val="24"/>
        </w:rPr>
        <w:t xml:space="preserve">/2020. </w:t>
      </w:r>
    </w:p>
    <w:p w:rsidR="00F44D72" w:rsidRDefault="000262FF">
      <w:pPr>
        <w:pStyle w:val="normal0"/>
        <w:widowControl w:val="0"/>
        <w:numPr>
          <w:ilvl w:val="0"/>
          <w:numId w:val="1"/>
        </w:numPr>
        <w:tabs>
          <w:tab w:val="left" w:pos="709"/>
          <w:tab w:val="left" w:pos="113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hanging="56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Alterar o cronograma de datas constante no CRONOGRAMA do referido Edital, conforme apresentado abaixo:</w:t>
      </w:r>
    </w:p>
    <w:p w:rsidR="00F44D72" w:rsidRDefault="00F44D72">
      <w:pPr>
        <w:pStyle w:val="normal0"/>
        <w:widowControl w:val="0"/>
        <w:tabs>
          <w:tab w:val="left" w:pos="709"/>
          <w:tab w:val="left" w:pos="113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7"/>
        <w:jc w:val="both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"/>
        <w:tblW w:w="9121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19"/>
        <w:gridCol w:w="2101"/>
        <w:gridCol w:w="2063"/>
        <w:gridCol w:w="2338"/>
      </w:tblGrid>
      <w:tr w:rsidR="00F44D72">
        <w:tc>
          <w:tcPr>
            <w:tcW w:w="2619" w:type="dxa"/>
            <w:vAlign w:val="center"/>
          </w:tcPr>
          <w:p w:rsidR="00F44D72" w:rsidRDefault="000262FF">
            <w:pPr>
              <w:pStyle w:val="normal0"/>
              <w:widowControl w:val="0"/>
              <w:tabs>
                <w:tab w:val="left" w:pos="709"/>
                <w:tab w:val="left" w:pos="1134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Etapa</w:t>
            </w:r>
          </w:p>
        </w:tc>
        <w:tc>
          <w:tcPr>
            <w:tcW w:w="2101" w:type="dxa"/>
            <w:vAlign w:val="center"/>
          </w:tcPr>
          <w:p w:rsidR="00F44D72" w:rsidRDefault="000262FF">
            <w:pPr>
              <w:pStyle w:val="normal0"/>
              <w:widowControl w:val="0"/>
              <w:tabs>
                <w:tab w:val="left" w:pos="709"/>
                <w:tab w:val="left" w:pos="1134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Data</w:t>
            </w:r>
          </w:p>
        </w:tc>
        <w:tc>
          <w:tcPr>
            <w:tcW w:w="2063" w:type="dxa"/>
            <w:vAlign w:val="center"/>
          </w:tcPr>
          <w:p w:rsidR="00F44D72" w:rsidRDefault="000262FF">
            <w:pPr>
              <w:pStyle w:val="normal0"/>
              <w:widowControl w:val="0"/>
              <w:tabs>
                <w:tab w:val="left" w:pos="709"/>
                <w:tab w:val="left" w:pos="1134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Horário</w:t>
            </w:r>
          </w:p>
        </w:tc>
        <w:tc>
          <w:tcPr>
            <w:tcW w:w="2338" w:type="dxa"/>
            <w:vAlign w:val="center"/>
          </w:tcPr>
          <w:p w:rsidR="00F44D72" w:rsidRDefault="000262FF">
            <w:pPr>
              <w:pStyle w:val="normal0"/>
              <w:widowControl w:val="0"/>
              <w:tabs>
                <w:tab w:val="left" w:pos="709"/>
                <w:tab w:val="left" w:pos="1134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Local</w:t>
            </w:r>
          </w:p>
        </w:tc>
      </w:tr>
      <w:tr w:rsidR="00F44D72">
        <w:tc>
          <w:tcPr>
            <w:tcW w:w="2619" w:type="dxa"/>
            <w:vAlign w:val="center"/>
          </w:tcPr>
          <w:p w:rsidR="00F44D72" w:rsidRDefault="000262FF">
            <w:pPr>
              <w:pStyle w:val="normal0"/>
              <w:widowControl w:val="0"/>
              <w:tabs>
                <w:tab w:val="left" w:pos="709"/>
                <w:tab w:val="left" w:pos="1134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Homologação da inscrição</w:t>
            </w:r>
          </w:p>
        </w:tc>
        <w:tc>
          <w:tcPr>
            <w:tcW w:w="2101" w:type="dxa"/>
            <w:vAlign w:val="center"/>
          </w:tcPr>
          <w:p w:rsidR="00F44D72" w:rsidRDefault="000E69E4">
            <w:pPr>
              <w:pStyle w:val="normal0"/>
              <w:widowControl w:val="0"/>
              <w:tabs>
                <w:tab w:val="left" w:pos="709"/>
                <w:tab w:val="left" w:pos="1134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23</w:t>
            </w:r>
            <w:r w:rsidR="000262FF">
              <w:rPr>
                <w:rFonts w:ascii="Arial Narrow" w:eastAsia="Arial Narrow" w:hAnsi="Arial Narrow" w:cs="Arial Narrow"/>
                <w:sz w:val="24"/>
                <w:szCs w:val="24"/>
              </w:rPr>
              <w:t>/03/2020</w:t>
            </w:r>
          </w:p>
        </w:tc>
        <w:tc>
          <w:tcPr>
            <w:tcW w:w="2063" w:type="dxa"/>
            <w:vAlign w:val="center"/>
          </w:tcPr>
          <w:p w:rsidR="00F44D72" w:rsidRDefault="000262FF">
            <w:pPr>
              <w:pStyle w:val="normal0"/>
              <w:widowControl w:val="0"/>
              <w:tabs>
                <w:tab w:val="left" w:pos="709"/>
                <w:tab w:val="left" w:pos="1134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2338" w:type="dxa"/>
            <w:vAlign w:val="center"/>
          </w:tcPr>
          <w:p w:rsidR="00F44D72" w:rsidRDefault="00F44F33">
            <w:pPr>
              <w:pStyle w:val="normal0"/>
              <w:widowControl w:val="0"/>
              <w:tabs>
                <w:tab w:val="left" w:pos="709"/>
                <w:tab w:val="left" w:pos="1134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hyperlink r:id="rId7">
              <w:r w:rsidR="000262FF">
                <w:rPr>
                  <w:rFonts w:ascii="Arial Narrow" w:eastAsia="Arial Narrow" w:hAnsi="Arial Narrow" w:cs="Arial Narrow"/>
                  <w:color w:val="0000FF"/>
                  <w:sz w:val="24"/>
                  <w:szCs w:val="24"/>
                  <w:u w:val="single"/>
                </w:rPr>
                <w:t>www.sites.eum.br/profar</w:t>
              </w:r>
            </w:hyperlink>
          </w:p>
        </w:tc>
      </w:tr>
      <w:tr w:rsidR="00BD572C">
        <w:tc>
          <w:tcPr>
            <w:tcW w:w="2619" w:type="dxa"/>
            <w:vAlign w:val="center"/>
          </w:tcPr>
          <w:p w:rsidR="00BD572C" w:rsidRDefault="00BD572C">
            <w:pPr>
              <w:pStyle w:val="normal0"/>
              <w:widowControl w:val="0"/>
              <w:tabs>
                <w:tab w:val="left" w:pos="709"/>
                <w:tab w:val="left" w:pos="1134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Solicitação de atendimento especial para a realização das provas ao candidato</w:t>
            </w:r>
          </w:p>
        </w:tc>
        <w:tc>
          <w:tcPr>
            <w:tcW w:w="2101" w:type="dxa"/>
            <w:vAlign w:val="center"/>
          </w:tcPr>
          <w:p w:rsidR="00BD572C" w:rsidRDefault="00BD572C" w:rsidP="00BD572C">
            <w:pPr>
              <w:pStyle w:val="normal0"/>
              <w:widowControl w:val="0"/>
              <w:tabs>
                <w:tab w:val="left" w:pos="709"/>
                <w:tab w:val="left" w:pos="1134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20/03/2020</w:t>
            </w:r>
          </w:p>
        </w:tc>
        <w:tc>
          <w:tcPr>
            <w:tcW w:w="2063" w:type="dxa"/>
            <w:vAlign w:val="center"/>
          </w:tcPr>
          <w:p w:rsidR="00BD572C" w:rsidRDefault="00BD572C" w:rsidP="003F7462">
            <w:pPr>
              <w:pStyle w:val="normal0"/>
              <w:widowControl w:val="0"/>
              <w:tabs>
                <w:tab w:val="left" w:pos="709"/>
                <w:tab w:val="left" w:pos="1134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2338" w:type="dxa"/>
            <w:vAlign w:val="center"/>
          </w:tcPr>
          <w:p w:rsidR="00BD572C" w:rsidRDefault="00F44F33" w:rsidP="003F7462">
            <w:pPr>
              <w:pStyle w:val="normal0"/>
              <w:widowControl w:val="0"/>
              <w:tabs>
                <w:tab w:val="left" w:pos="709"/>
                <w:tab w:val="left" w:pos="1134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hyperlink r:id="rId8">
              <w:r w:rsidR="00BD572C">
                <w:rPr>
                  <w:rFonts w:ascii="Arial Narrow" w:eastAsia="Arial Narrow" w:hAnsi="Arial Narrow" w:cs="Arial Narrow"/>
                  <w:color w:val="0000FF"/>
                  <w:sz w:val="24"/>
                  <w:szCs w:val="24"/>
                  <w:u w:val="single"/>
                </w:rPr>
                <w:t>www.sites.eum.br/profar</w:t>
              </w:r>
            </w:hyperlink>
          </w:p>
        </w:tc>
      </w:tr>
    </w:tbl>
    <w:p w:rsidR="00F44D72" w:rsidRDefault="00F44D72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85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F44D72" w:rsidRDefault="000262FF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85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Todas as demais datas permanecem inalteradas.</w:t>
      </w:r>
    </w:p>
    <w:p w:rsidR="00F44D72" w:rsidRDefault="00F44D72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85"/>
        <w:jc w:val="right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F44D72" w:rsidRDefault="000262FF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85"/>
        <w:jc w:val="right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Maringá, </w:t>
      </w:r>
      <w:r>
        <w:rPr>
          <w:rFonts w:ascii="Arial Narrow" w:eastAsia="Arial Narrow" w:hAnsi="Arial Narrow" w:cs="Arial Narrow"/>
          <w:sz w:val="24"/>
          <w:szCs w:val="24"/>
        </w:rPr>
        <w:t>1</w:t>
      </w:r>
      <w:r w:rsidR="00EA0DFB">
        <w:rPr>
          <w:rFonts w:ascii="Arial Narrow" w:eastAsia="Arial Narrow" w:hAnsi="Arial Narrow" w:cs="Arial Narrow"/>
          <w:sz w:val="24"/>
          <w:szCs w:val="24"/>
        </w:rPr>
        <w:t>3</w:t>
      </w:r>
      <w:r>
        <w:rPr>
          <w:rFonts w:ascii="Arial Narrow" w:eastAsia="Arial Narrow" w:hAnsi="Arial Narrow" w:cs="Arial Narrow"/>
          <w:sz w:val="24"/>
          <w:szCs w:val="24"/>
        </w:rPr>
        <w:t xml:space="preserve"> de </w:t>
      </w:r>
      <w:r w:rsidR="00EA0DFB">
        <w:rPr>
          <w:rFonts w:ascii="Arial Narrow" w:eastAsia="Arial Narrow" w:hAnsi="Arial Narrow" w:cs="Arial Narrow"/>
          <w:sz w:val="24"/>
          <w:szCs w:val="24"/>
        </w:rPr>
        <w:t>março</w:t>
      </w:r>
      <w:r>
        <w:rPr>
          <w:rFonts w:ascii="Arial Narrow" w:eastAsia="Arial Narrow" w:hAnsi="Arial Narrow" w:cs="Arial Narrow"/>
          <w:sz w:val="24"/>
          <w:szCs w:val="24"/>
        </w:rPr>
        <w:t xml:space="preserve"> de 2020.</w:t>
      </w:r>
    </w:p>
    <w:p w:rsidR="00F44D72" w:rsidRDefault="000D2234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85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noProof/>
          <w:color w:val="000000"/>
          <w:sz w:val="24"/>
          <w:szCs w:val="24"/>
        </w:rPr>
        <w:drawing>
          <wp:inline distT="0" distB="0" distL="0" distR="0">
            <wp:extent cx="1552575" cy="800100"/>
            <wp:effectExtent l="19050" t="0" r="9525" b="0"/>
            <wp:docPr id="1" name="Imagem 1" descr="C:\Users\Farmácia\Downloads\Assinatura digital - Adri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mácia\Downloads\Assinatura digital - Adrian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D72" w:rsidRDefault="000262FF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85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Prof</w:t>
      </w:r>
      <w:r w:rsidR="00356FAA"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. Dra. </w:t>
      </w:r>
      <w:r w:rsidR="00356FAA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Adriana Lenita Meyer </w:t>
      </w:r>
      <w:proofErr w:type="spellStart"/>
      <w:r w:rsidR="00356FAA">
        <w:rPr>
          <w:rFonts w:ascii="Arial Narrow" w:eastAsia="Arial Narrow" w:hAnsi="Arial Narrow" w:cs="Arial Narrow"/>
          <w:color w:val="000000"/>
          <w:sz w:val="24"/>
          <w:szCs w:val="24"/>
        </w:rPr>
        <w:t>Albiero</w:t>
      </w:r>
      <w:proofErr w:type="spellEnd"/>
    </w:p>
    <w:p w:rsidR="00F44D72" w:rsidRDefault="000262FF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85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Coordenadora </w:t>
      </w:r>
      <w:r w:rsidR="00356FAA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Adjunta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do Programa de Pós-Graduação em Assistência Farmacêutica </w:t>
      </w:r>
      <w:r w:rsidR="00F22917">
        <w:rPr>
          <w:rFonts w:ascii="Arial Narrow" w:eastAsia="Arial Narrow" w:hAnsi="Arial Narrow" w:cs="Arial Narrow"/>
          <w:color w:val="000000"/>
          <w:sz w:val="24"/>
          <w:szCs w:val="24"/>
        </w:rPr>
        <w:t>–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PROFAR</w:t>
      </w:r>
    </w:p>
    <w:p w:rsidR="00F22917" w:rsidRDefault="00F22917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85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F22917" w:rsidRDefault="00F22917" w:rsidP="00F2291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lastRenderedPageBreak/>
        <w:t>Edital No. 005/2020-PROFAR</w:t>
      </w:r>
    </w:p>
    <w:p w:rsidR="00F22917" w:rsidRDefault="00F22917" w:rsidP="00F2291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39" w:after="120" w:line="360" w:lineRule="auto"/>
        <w:ind w:left="102" w:right="108" w:firstLine="618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A Coordenação do Programa de Pós-Graduação em Assistência Farmacêutica – PROFAR, da Universidade Estadual de Maringá, no uso de suas atribuições legais, considerando o Decreto n.º 3.764, de 25 de outubro de 2004, a Resolução </w:t>
      </w:r>
      <w:r>
        <w:rPr>
          <w:rFonts w:ascii="Arial Narrow" w:eastAsia="Arial Narrow" w:hAnsi="Arial Narrow" w:cs="Arial Narrow"/>
          <w:sz w:val="24"/>
          <w:szCs w:val="24"/>
        </w:rPr>
        <w:t>197/2019 - CAD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e a Resolução </w:t>
      </w:r>
      <w:r>
        <w:rPr>
          <w:rFonts w:ascii="Arial Narrow" w:eastAsia="Arial Narrow" w:hAnsi="Arial Narrow" w:cs="Arial Narrow"/>
          <w:sz w:val="24"/>
          <w:szCs w:val="24"/>
        </w:rPr>
        <w:t>019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/2020 – CI/CCS</w:t>
      </w:r>
      <w:proofErr w:type="gramStart"/>
      <w:r>
        <w:rPr>
          <w:rFonts w:ascii="Arial Narrow" w:eastAsia="Arial Narrow" w:hAnsi="Arial Narrow" w:cs="Arial Narrow"/>
          <w:color w:val="000000"/>
          <w:sz w:val="24"/>
          <w:szCs w:val="24"/>
        </w:rPr>
        <w:t>, resolve</w:t>
      </w:r>
      <w:proofErr w:type="gramEnd"/>
      <w:r>
        <w:rPr>
          <w:rFonts w:ascii="Arial Narrow" w:eastAsia="Arial Narrow" w:hAnsi="Arial Narrow" w:cs="Arial Narrow"/>
          <w:color w:val="000000"/>
          <w:sz w:val="24"/>
          <w:szCs w:val="24"/>
        </w:rPr>
        <w:t>:</w:t>
      </w:r>
    </w:p>
    <w:p w:rsidR="00F22917" w:rsidRDefault="00F22917" w:rsidP="00F22917">
      <w:pPr>
        <w:pStyle w:val="Ttulo1"/>
        <w:spacing w:line="360" w:lineRule="auto"/>
        <w:ind w:left="3458" w:right="3463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TORNAR PÚBLICA</w:t>
      </w:r>
    </w:p>
    <w:p w:rsidR="00F22917" w:rsidRDefault="00F22917" w:rsidP="00F2291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04" w:after="120" w:line="360" w:lineRule="auto"/>
        <w:ind w:left="102" w:right="110" w:firstLine="707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A abertura das inscrições para a seleção do Curso de Mestrado profissional em Assistência Farmacêutica, na área de concentração Assistência Farmacêutica e linhas de pesquisa: Atenção farmacêutica e Gerenciamento de Medicamentos e Políticas de Saúde a ser realizado pela Universidade Estadual de Maringá (UEM).</w:t>
      </w:r>
    </w:p>
    <w:p w:rsidR="00F22917" w:rsidRDefault="00F22917" w:rsidP="00F2291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 w:after="120"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F22917" w:rsidRDefault="00F22917" w:rsidP="00F22917">
      <w:pPr>
        <w:pStyle w:val="Ttulo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86"/>
        </w:tabs>
        <w:spacing w:line="360" w:lineRule="auto"/>
        <w:ind w:hanging="283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DISPOSIÇÕES PRELIMINARES</w:t>
      </w:r>
    </w:p>
    <w:p w:rsidR="00F22917" w:rsidRDefault="00F22917" w:rsidP="00F22917">
      <w:pPr>
        <w:pStyle w:val="normal0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0" w:firstLine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O número de vagas oferecidas para admissão ao Curso no ano de 2020 será de no máximo 13 (treze), sendo as orientações definidas pelo conselho acadêmico.</w:t>
      </w:r>
    </w:p>
    <w:p w:rsidR="00F22917" w:rsidRDefault="00F22917" w:rsidP="00F22917">
      <w:pPr>
        <w:pStyle w:val="normal0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0" w:firstLine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Poderão se inscrever para a seleção do Mestrado Profissional em Assistência Farmacêutica, profissionais farmacêuticos que possuam inscrição ativa no CRF e tenham vínculo empregatício.</w:t>
      </w:r>
    </w:p>
    <w:p w:rsidR="00F22917" w:rsidRDefault="00F22917" w:rsidP="00F22917">
      <w:pPr>
        <w:pStyle w:val="normal0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0" w:firstLine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A seleção para o Programa de Pós-Graduação em Assistência Farmacêutica será realizada em três etapas:</w:t>
      </w:r>
    </w:p>
    <w:p w:rsidR="00F22917" w:rsidRDefault="00F22917" w:rsidP="00F22917">
      <w:pPr>
        <w:pStyle w:val="normal0"/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0" w:hanging="3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Primeira Fase – Prova de Conhecimentos Específicos (classificatória e eliminatória): A prova de conhecimento específico será composta de questões objetivas e discursivas. Os candidatos que atingirem nota igual ou superior a 6,0 na primeira fase estarão classificados para participar da segunda fase;</w:t>
      </w:r>
    </w:p>
    <w:p w:rsidR="00F22917" w:rsidRDefault="00F22917" w:rsidP="00F22917">
      <w:pPr>
        <w:pStyle w:val="normal0"/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0" w:hanging="3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Segunda fase – Análise do Currículo Lattes e do Pré-projeto de pesquisa (classificatória e eliminatória): Os candidatos que atingirem nota igual ou superior a 6,0 na segunda fase estarão classificados para participarem da terceira fase;</w:t>
      </w:r>
    </w:p>
    <w:p w:rsidR="00F22917" w:rsidRDefault="00F22917" w:rsidP="00F22917">
      <w:pPr>
        <w:pStyle w:val="normal0"/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0" w:hanging="3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Terceira fase – Entrevista (classificatória).</w:t>
      </w:r>
    </w:p>
    <w:p w:rsidR="00F22917" w:rsidRDefault="00F22917" w:rsidP="00F22917">
      <w:pPr>
        <w:pStyle w:val="normal0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0" w:firstLine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Poderá ser atribuído atendimento especial para a realização das provas ao candidato que solicitar, desde que justificada a necessidade. A solicitação deverá ser efetuada por escrito, à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lastRenderedPageBreak/>
        <w:t>Secretaria do PROFAR até o dia 13 de março de 2020, e poderá ser atendida, de acordo com os critérios de viabilidade e de razoabilidade apreciados pela coordenação de seleção.</w:t>
      </w:r>
    </w:p>
    <w:p w:rsidR="00F22917" w:rsidRDefault="00F22917" w:rsidP="00F22917">
      <w:pPr>
        <w:pStyle w:val="normal0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0" w:firstLine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O candidato deverá responsabilizar-se por inteirar-se das datas, horários e locais de realização das etapas de seleção, devendo consultar os editais disponibilizados no endereço eletrônico: www.sites.uem.br/profar.</w:t>
      </w:r>
    </w:p>
    <w:p w:rsidR="00F22917" w:rsidRDefault="00F22917" w:rsidP="00F229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F22917" w:rsidRDefault="00F22917" w:rsidP="00F22917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PROCEDIMENTOS PARA INSCRIÇÃO</w:t>
      </w:r>
    </w:p>
    <w:p w:rsidR="00F22917" w:rsidRDefault="00F22917" w:rsidP="00F229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2.1. As inscrições para o Programa de Pós-Graduação em Assistência Farmacêutica estarão abertas no período de 26 de fevereiro a 13 de março de 2020.</w:t>
      </w:r>
    </w:p>
    <w:p w:rsidR="00F22917" w:rsidRDefault="00F22917" w:rsidP="00F229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2.2. Não haverá taxa de inscrição para o processo seletivo.</w:t>
      </w:r>
    </w:p>
    <w:p w:rsidR="00F22917" w:rsidRDefault="00F22917" w:rsidP="00F229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2.3. Os documentos necessários para o processo seletivo são:</w:t>
      </w:r>
    </w:p>
    <w:p w:rsidR="00F22917" w:rsidRDefault="00F22917" w:rsidP="00F229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a) Ficha de inscrição preenchida e assinada;</w:t>
      </w:r>
    </w:p>
    <w:p w:rsidR="00F22917" w:rsidRDefault="00F22917" w:rsidP="00F229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b) Duas fotos 3x4 recentes;</w:t>
      </w:r>
    </w:p>
    <w:p w:rsidR="00F22917" w:rsidRDefault="00F22917" w:rsidP="00F229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c)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Curriculum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vitae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Lattes dos últimos </w:t>
      </w:r>
      <w:proofErr w:type="gramStart"/>
      <w:r>
        <w:rPr>
          <w:rFonts w:ascii="Arial Narrow" w:eastAsia="Arial Narrow" w:hAnsi="Arial Narrow" w:cs="Arial Narrow"/>
          <w:color w:val="000000"/>
          <w:sz w:val="24"/>
          <w:szCs w:val="24"/>
        </w:rPr>
        <w:t>3</w:t>
      </w:r>
      <w:proofErr w:type="gram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anos (documentado – fotocópias de todos os documentos comprobatórios);</w:t>
      </w:r>
    </w:p>
    <w:p w:rsidR="00F22917" w:rsidRDefault="00F22917" w:rsidP="00F229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d) Cópias legíveis e autenticadas dos seguintes documentos: </w:t>
      </w:r>
    </w:p>
    <w:p w:rsidR="00F22917" w:rsidRDefault="00F22917" w:rsidP="00F22917">
      <w:pPr>
        <w:pStyle w:val="normal0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Carteira de Identidade;</w:t>
      </w:r>
    </w:p>
    <w:p w:rsidR="00F22917" w:rsidRDefault="00F22917" w:rsidP="00F22917">
      <w:pPr>
        <w:pStyle w:val="normal0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CPF;</w:t>
      </w:r>
    </w:p>
    <w:p w:rsidR="00F22917" w:rsidRDefault="00F22917" w:rsidP="00F22917">
      <w:pPr>
        <w:pStyle w:val="normal0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Certidão de Nascimento ou Casamento;</w:t>
      </w:r>
    </w:p>
    <w:p w:rsidR="00F22917" w:rsidRDefault="00F22917" w:rsidP="00F22917">
      <w:pPr>
        <w:pStyle w:val="normal0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Diploma de Graduação, obtido em curso reconhecido pelo MEC;</w:t>
      </w:r>
    </w:p>
    <w:p w:rsidR="00F22917" w:rsidRDefault="00F22917" w:rsidP="00F22917">
      <w:pPr>
        <w:pStyle w:val="normal0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Histórico Escolar da Graduação</w:t>
      </w:r>
      <w:r>
        <w:rPr>
          <w:rFonts w:ascii="Arial Narrow" w:eastAsia="Arial Narrow" w:hAnsi="Arial Narrow" w:cs="Arial Narrow"/>
          <w:sz w:val="24"/>
          <w:szCs w:val="24"/>
        </w:rPr>
        <w:t>;</w:t>
      </w:r>
    </w:p>
    <w:p w:rsidR="00F22917" w:rsidRDefault="00F22917" w:rsidP="00F22917">
      <w:pPr>
        <w:pStyle w:val="normal0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Comprovação de vínculo empregatício</w:t>
      </w:r>
    </w:p>
    <w:p w:rsidR="00F22917" w:rsidRDefault="00F22917" w:rsidP="00F229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e) Pré-projeto de pesquisa</w:t>
      </w:r>
      <w:r>
        <w:rPr>
          <w:rFonts w:ascii="Arial Narrow" w:eastAsia="Arial Narrow" w:hAnsi="Arial Narrow" w:cs="Arial Narrow"/>
          <w:sz w:val="24"/>
          <w:szCs w:val="24"/>
        </w:rPr>
        <w:t>;</w:t>
      </w:r>
    </w:p>
    <w:p w:rsidR="00F22917" w:rsidRDefault="00F22917" w:rsidP="00F229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f) Anuência para realização do projeto de pesquisa no local onde trabalha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</w:p>
    <w:p w:rsidR="00F22917" w:rsidRDefault="00F22917" w:rsidP="00F229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2.4. Os documentos exigidos para a inscrição no Programa de Pós-Graduação em Assistência Farmacêutica deverão ser encadernados (documentos e pré-projeto: duas encadernações) e colocados em envelope lacrado, devidamente identificado com o nome do candidato e enviado por Sedex ou entregues pessoalmente na Secretaria do Departamento de Farmácia (DFA), </w:t>
      </w:r>
      <w:r>
        <w:rPr>
          <w:rFonts w:ascii="Arial Narrow" w:eastAsia="Arial Narrow" w:hAnsi="Arial Narrow" w:cs="Arial Narrow"/>
          <w:sz w:val="24"/>
          <w:szCs w:val="24"/>
        </w:rPr>
        <w:t>26 de fevereiro a 13 de março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de 2020, com data de entrega ou postagem máxima em 13 de março de 2020.</w:t>
      </w:r>
    </w:p>
    <w:p w:rsidR="00F22917" w:rsidRDefault="00F22917" w:rsidP="00F229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lastRenderedPageBreak/>
        <w:t>2.4.1. O endereço para postagem da documentação é:</w:t>
      </w:r>
    </w:p>
    <w:p w:rsidR="00F22917" w:rsidRDefault="00F22917" w:rsidP="00F229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Universidade Estadual de Maringá</w:t>
      </w:r>
    </w:p>
    <w:p w:rsidR="00F22917" w:rsidRDefault="00F22917" w:rsidP="00F229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Departamento de Farmácia (DFA)</w:t>
      </w:r>
    </w:p>
    <w:p w:rsidR="00F22917" w:rsidRDefault="00F22917" w:rsidP="00F229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Avenida Colombo, 5790 – Bloco K68, sala</w:t>
      </w:r>
      <w:proofErr w:type="gramStart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 </w:t>
      </w:r>
      <w:proofErr w:type="gramEnd"/>
      <w:r>
        <w:rPr>
          <w:rFonts w:ascii="Arial Narrow" w:eastAsia="Arial Narrow" w:hAnsi="Arial Narrow" w:cs="Arial Narrow"/>
          <w:color w:val="000000"/>
          <w:sz w:val="24"/>
          <w:szCs w:val="24"/>
        </w:rPr>
        <w:t>005 – Campus Sede UEM</w:t>
      </w:r>
    </w:p>
    <w:p w:rsidR="00F22917" w:rsidRDefault="00F22917" w:rsidP="00F229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CEP: 87020-900 – Maringá-PR</w:t>
      </w:r>
    </w:p>
    <w:p w:rsidR="00F22917" w:rsidRDefault="00F22917" w:rsidP="00F229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2.5. O Edital de Homologação das inscrições será publicado no dia 20 de março de 2020 no endereço eletrônico: </w:t>
      </w:r>
      <w:hyperlink r:id="rId10">
        <w:r>
          <w:rPr>
            <w:rFonts w:ascii="Arial Narrow" w:eastAsia="Arial Narrow" w:hAnsi="Arial Narrow" w:cs="Arial Narrow"/>
            <w:color w:val="0000FF"/>
            <w:sz w:val="24"/>
            <w:szCs w:val="24"/>
            <w:u w:val="single"/>
          </w:rPr>
          <w:t>www.sites.uem.br/profar</w:t>
        </w:r>
      </w:hyperlink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</w:p>
    <w:p w:rsidR="00F22917" w:rsidRDefault="00F22917" w:rsidP="00F229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F22917" w:rsidRDefault="00F22917" w:rsidP="00F22917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CALENDÁRIO DO PROCESSO SELETIVO</w:t>
      </w:r>
    </w:p>
    <w:p w:rsidR="00F22917" w:rsidRDefault="00F22917" w:rsidP="00F229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3.1. Prova de conhecimentos específicos:</w:t>
      </w:r>
    </w:p>
    <w:p w:rsidR="00F22917" w:rsidRDefault="00F22917" w:rsidP="00F229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Data: 04 de abril de 2020 (sábado)</w:t>
      </w:r>
    </w:p>
    <w:p w:rsidR="00F22917" w:rsidRDefault="00F22917" w:rsidP="00F229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Horário: 09h00min – 12h00min</w:t>
      </w:r>
    </w:p>
    <w:p w:rsidR="00F22917" w:rsidRDefault="00F22917" w:rsidP="00F229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Local: Bloco Q-04, </w:t>
      </w:r>
      <w:proofErr w:type="gramStart"/>
      <w:r>
        <w:rPr>
          <w:rFonts w:ascii="Arial Narrow" w:eastAsia="Arial Narrow" w:hAnsi="Arial Narrow" w:cs="Arial Narrow"/>
          <w:color w:val="000000"/>
          <w:sz w:val="24"/>
          <w:szCs w:val="24"/>
        </w:rPr>
        <w:t>Auditório</w:t>
      </w:r>
      <w:proofErr w:type="gramEnd"/>
    </w:p>
    <w:p w:rsidR="00F22917" w:rsidRDefault="00F22917" w:rsidP="00F229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F22917" w:rsidRDefault="00F22917" w:rsidP="00F229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3.2. Análise de currículos e pré-projetos:</w:t>
      </w:r>
    </w:p>
    <w:p w:rsidR="00F22917" w:rsidRDefault="00F22917" w:rsidP="00F229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Datas: 06 a 09 de abril de 2020</w:t>
      </w:r>
    </w:p>
    <w:p w:rsidR="00F22917" w:rsidRDefault="00F22917" w:rsidP="00F229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F22917" w:rsidRDefault="00F22917" w:rsidP="00F229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- Divulgação do resultado da prova de conhecimentos específicos e análise de currículos e pré-projetos (1ª Fase): 13 de abril de 2020</w:t>
      </w:r>
    </w:p>
    <w:p w:rsidR="00F22917" w:rsidRDefault="00F22917" w:rsidP="00F229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F22917" w:rsidRDefault="00F22917" w:rsidP="00F229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3.3. Realização das entrevistas: 17 e 18 de abril de 2020 (horários agendados)</w:t>
      </w:r>
    </w:p>
    <w:p w:rsidR="00F22917" w:rsidRDefault="00F22917" w:rsidP="00F229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F22917" w:rsidRDefault="00F22917" w:rsidP="00F229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- Resultado final: 22 de abril de 2020</w:t>
      </w:r>
    </w:p>
    <w:p w:rsidR="00F22917" w:rsidRDefault="00F22917" w:rsidP="00F229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F22917" w:rsidRDefault="00F22917" w:rsidP="00F22917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DOS RESULTADOS</w:t>
      </w:r>
    </w:p>
    <w:p w:rsidR="00F22917" w:rsidRDefault="00F22917" w:rsidP="00F229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 xml:space="preserve">Os resultados serão de responsabilidade da Comissão de Seleção por meio de Edital a ser publicado no endereço eletrônico: </w:t>
      </w:r>
      <w:hyperlink r:id="rId11">
        <w:r>
          <w:rPr>
            <w:rFonts w:ascii="Arial Narrow" w:eastAsia="Arial Narrow" w:hAnsi="Arial Narrow" w:cs="Arial Narrow"/>
            <w:color w:val="0000FF"/>
            <w:sz w:val="24"/>
            <w:szCs w:val="24"/>
            <w:u w:val="single"/>
          </w:rPr>
          <w:t>www.sites.uem.br/profar</w:t>
        </w:r>
      </w:hyperlink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</w:p>
    <w:p w:rsidR="00F22917" w:rsidRDefault="00F22917" w:rsidP="00F229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F22917" w:rsidRDefault="00F22917" w:rsidP="00F22917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OUTRAS INFORMAÇÕES</w:t>
      </w:r>
    </w:p>
    <w:p w:rsidR="00F22917" w:rsidRDefault="00F22917" w:rsidP="00F229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lastRenderedPageBreak/>
        <w:t xml:space="preserve">5.1. O Regulamento do Programa de Pós-Graduação em Assistência Farmacêutica está disponível no endereço eletrônico: </w:t>
      </w:r>
      <w:hyperlink r:id="rId12">
        <w:r>
          <w:rPr>
            <w:rFonts w:ascii="Arial Narrow" w:eastAsia="Arial Narrow" w:hAnsi="Arial Narrow" w:cs="Arial Narrow"/>
            <w:color w:val="0000FF"/>
            <w:sz w:val="24"/>
            <w:szCs w:val="24"/>
            <w:u w:val="single"/>
          </w:rPr>
          <w:t>www.sites.uem.br/profar</w:t>
        </w:r>
      </w:hyperlink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</w:p>
    <w:p w:rsidR="00F22917" w:rsidRDefault="00F22917" w:rsidP="00F229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5.2. Não serão emitidos documentos relativos ao processo seletivo.</w:t>
      </w:r>
    </w:p>
    <w:p w:rsidR="00F22917" w:rsidRDefault="00F22917" w:rsidP="00F229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5.3. Recursos do resultado final publicado terão 05 (cinco) dias úteis para serem protocolados no Protocolo Geral da Universidade Estadual de Maringá, endereçados a Comissão de Seleção – PROFAR.</w:t>
      </w:r>
    </w:p>
    <w:p w:rsidR="00F22917" w:rsidRDefault="00F22917" w:rsidP="00F229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5.4. A documentação dos candidatos não aprovados poderá ser retirada na secretaria do DFA até às 17h20min do dia 22 de maio de 2020. Após este período, a documentação será descartada.</w:t>
      </w:r>
    </w:p>
    <w:p w:rsidR="00F22917" w:rsidRDefault="00F22917" w:rsidP="00F229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5.5. Os casos não contemplados por este edital serão resolvidos pela Coordenação do Programa de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Pós-Graduação-PROFAR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</w:p>
    <w:p w:rsidR="00F22917" w:rsidRDefault="00F22917" w:rsidP="00F229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F22917" w:rsidRDefault="00F22917" w:rsidP="00F22917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PROGRAMA DA PROVA</w:t>
      </w:r>
    </w:p>
    <w:p w:rsidR="00F22917" w:rsidRDefault="00F22917" w:rsidP="00F229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color w:val="000000"/>
          <w:sz w:val="24"/>
          <w:szCs w:val="24"/>
        </w:rPr>
        <w:t>1</w:t>
      </w:r>
      <w:proofErr w:type="gramEnd"/>
      <w:r>
        <w:rPr>
          <w:rFonts w:ascii="Arial Narrow" w:eastAsia="Arial Narrow" w:hAnsi="Arial Narrow" w:cs="Arial Narrow"/>
          <w:color w:val="000000"/>
          <w:sz w:val="24"/>
          <w:szCs w:val="24"/>
        </w:rPr>
        <w:t>) Ética e Legislação Farmacêutica</w:t>
      </w:r>
    </w:p>
    <w:p w:rsidR="00F22917" w:rsidRDefault="00F22917" w:rsidP="00F229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color w:val="000000"/>
          <w:sz w:val="24"/>
          <w:szCs w:val="24"/>
        </w:rPr>
        <w:t>2</w:t>
      </w:r>
      <w:proofErr w:type="gramEnd"/>
      <w:r>
        <w:rPr>
          <w:rFonts w:ascii="Arial Narrow" w:eastAsia="Arial Narrow" w:hAnsi="Arial Narrow" w:cs="Arial Narrow"/>
          <w:color w:val="000000"/>
          <w:sz w:val="24"/>
          <w:szCs w:val="24"/>
        </w:rPr>
        <w:t>) Princípios e Aplicações da Atenção Farmacêutica</w:t>
      </w:r>
    </w:p>
    <w:p w:rsidR="00F22917" w:rsidRDefault="00F22917" w:rsidP="00F229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color w:val="000000"/>
          <w:sz w:val="24"/>
          <w:szCs w:val="24"/>
        </w:rPr>
        <w:t>3</w:t>
      </w:r>
      <w:proofErr w:type="gramEnd"/>
      <w:r>
        <w:rPr>
          <w:rFonts w:ascii="Arial Narrow" w:eastAsia="Arial Narrow" w:hAnsi="Arial Narrow" w:cs="Arial Narrow"/>
          <w:color w:val="000000"/>
          <w:sz w:val="24"/>
          <w:szCs w:val="24"/>
        </w:rPr>
        <w:t>) Consulta e Prescrição Farmacêutica</w:t>
      </w:r>
    </w:p>
    <w:p w:rsidR="00F22917" w:rsidRDefault="00F22917" w:rsidP="00F229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color w:val="000000"/>
          <w:sz w:val="24"/>
          <w:szCs w:val="24"/>
        </w:rPr>
        <w:t>4</w:t>
      </w:r>
      <w:proofErr w:type="gramEnd"/>
      <w:r>
        <w:rPr>
          <w:rFonts w:ascii="Arial Narrow" w:eastAsia="Arial Narrow" w:hAnsi="Arial Narrow" w:cs="Arial Narrow"/>
          <w:color w:val="000000"/>
          <w:sz w:val="24"/>
          <w:szCs w:val="24"/>
        </w:rPr>
        <w:t>) Sistema Único de Saúde e o Ciclo da Assistência Farmacêutica</w:t>
      </w:r>
    </w:p>
    <w:p w:rsidR="00F22917" w:rsidRDefault="00F22917" w:rsidP="00F229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color w:val="000000"/>
          <w:sz w:val="24"/>
          <w:szCs w:val="24"/>
        </w:rPr>
        <w:t>5</w:t>
      </w:r>
      <w:proofErr w:type="gramEnd"/>
      <w:r>
        <w:rPr>
          <w:rFonts w:ascii="Arial Narrow" w:eastAsia="Arial Narrow" w:hAnsi="Arial Narrow" w:cs="Arial Narrow"/>
          <w:color w:val="000000"/>
          <w:sz w:val="24"/>
          <w:szCs w:val="24"/>
        </w:rPr>
        <w:t>) Gestão Logística em Saúde</w:t>
      </w:r>
    </w:p>
    <w:p w:rsidR="00F22917" w:rsidRDefault="00F22917" w:rsidP="00F229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color w:val="000000"/>
          <w:sz w:val="24"/>
          <w:szCs w:val="24"/>
        </w:rPr>
        <w:t>6</w:t>
      </w:r>
      <w:proofErr w:type="gramEnd"/>
      <w:r>
        <w:rPr>
          <w:rFonts w:ascii="Arial Narrow" w:eastAsia="Arial Narrow" w:hAnsi="Arial Narrow" w:cs="Arial Narrow"/>
          <w:color w:val="000000"/>
          <w:sz w:val="24"/>
          <w:szCs w:val="24"/>
        </w:rPr>
        <w:t>) Uso Racional de Medicamentos</w:t>
      </w:r>
    </w:p>
    <w:p w:rsidR="00F22917" w:rsidRDefault="00F22917" w:rsidP="00F229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F22917" w:rsidRDefault="00F22917" w:rsidP="00F22917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BIBLIOGRAFIA SUGERIDA</w:t>
      </w:r>
    </w:p>
    <w:p w:rsidR="00F22917" w:rsidRDefault="00F22917" w:rsidP="00F2291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F22917" w:rsidRDefault="00F22917" w:rsidP="00F2291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AGAPITO,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Naraiana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>. Gerenciamento de Estoques em Farmácia Hospitalar. Grupo de Estudos Logísticos da Universidade Federal de Santa Catarina – GESLOG. 2005.</w:t>
      </w:r>
    </w:p>
    <w:p w:rsidR="00F22917" w:rsidRDefault="00F22917" w:rsidP="00F2291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F22917" w:rsidRDefault="00F22917" w:rsidP="00F2291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AIZENSTEIN, ML. Fundamentos para o Uso Racional de Medicamentos. São Paulo: </w:t>
      </w:r>
      <w:proofErr w:type="gramStart"/>
      <w:r>
        <w:rPr>
          <w:rFonts w:ascii="Arial Narrow" w:eastAsia="Arial Narrow" w:hAnsi="Arial Narrow" w:cs="Arial Narrow"/>
          <w:color w:val="000000"/>
          <w:sz w:val="24"/>
          <w:szCs w:val="24"/>
        </w:rPr>
        <w:t>Editora Artes</w:t>
      </w:r>
      <w:proofErr w:type="gram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Médica, 2009. 198p.</w:t>
      </w:r>
    </w:p>
    <w:p w:rsidR="00F22917" w:rsidRDefault="00F22917" w:rsidP="00F2291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F22917" w:rsidRDefault="00F22917" w:rsidP="00F2291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BALLOU, Ronald H.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Gerenciamento da Cadeia de Suprimentos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: Planejamento, Organização e Logística Empresarial. 4ª edição. Porto Alegre: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Bookman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>, 2001;</w:t>
      </w:r>
    </w:p>
    <w:p w:rsidR="00F22917" w:rsidRDefault="00F22917" w:rsidP="00F2291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F22917" w:rsidRDefault="00F22917" w:rsidP="00F2291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lastRenderedPageBreak/>
        <w:t xml:space="preserve">BARBIERI, José Carlos; MACHLINE, Claude.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Logística Hospitalar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. São Paulo: </w:t>
      </w:r>
      <w:proofErr w:type="gramStart"/>
      <w:r>
        <w:rPr>
          <w:rFonts w:ascii="Arial Narrow" w:eastAsia="Arial Narrow" w:hAnsi="Arial Narrow" w:cs="Arial Narrow"/>
          <w:color w:val="000000"/>
          <w:sz w:val="24"/>
          <w:szCs w:val="24"/>
        </w:rPr>
        <w:t>Saraiva,</w:t>
      </w:r>
      <w:proofErr w:type="gram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2006.</w:t>
      </w:r>
    </w:p>
    <w:p w:rsidR="00F22917" w:rsidRDefault="00F22917" w:rsidP="00F2291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F22917" w:rsidRDefault="00F22917" w:rsidP="00F2291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867BEF">
        <w:rPr>
          <w:rFonts w:ascii="Arial Narrow" w:eastAsia="Arial Narrow" w:hAnsi="Arial Narrow" w:cs="Arial Narrow"/>
          <w:color w:val="000000"/>
          <w:sz w:val="24"/>
          <w:szCs w:val="24"/>
          <w:lang w:val="en-US"/>
        </w:rPr>
        <w:t xml:space="preserve">BITTAR, O. J. N. </w:t>
      </w:r>
      <w:proofErr w:type="gramStart"/>
      <w:r w:rsidRPr="00867BEF">
        <w:rPr>
          <w:rFonts w:ascii="Arial Narrow" w:eastAsia="Arial Narrow" w:hAnsi="Arial Narrow" w:cs="Arial Narrow"/>
          <w:color w:val="000000"/>
          <w:sz w:val="24"/>
          <w:szCs w:val="24"/>
          <w:lang w:val="en-US"/>
        </w:rPr>
        <w:t>V..</w:t>
      </w:r>
      <w:proofErr w:type="gramEnd"/>
      <w:r w:rsidRPr="00867BEF">
        <w:rPr>
          <w:rFonts w:ascii="Arial Narrow" w:eastAsia="Arial Narrow" w:hAnsi="Arial Narrow" w:cs="Arial Narrow"/>
          <w:color w:val="000000"/>
          <w:sz w:val="24"/>
          <w:szCs w:val="24"/>
          <w:lang w:val="en-US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Gestão de processos e certificação para qualidade em saúde.</w:t>
      </w:r>
      <w:r>
        <w:rPr>
          <w:rFonts w:ascii="Arial Narrow" w:eastAsia="Arial Narrow" w:hAnsi="Arial Narrow" w:cs="Arial Narrow"/>
          <w:i/>
          <w:color w:val="000000"/>
          <w:sz w:val="24"/>
          <w:szCs w:val="24"/>
        </w:rPr>
        <w:t xml:space="preserve"> Rev. </w:t>
      </w:r>
      <w:proofErr w:type="spellStart"/>
      <w:r>
        <w:rPr>
          <w:rFonts w:ascii="Arial Narrow" w:eastAsia="Arial Narrow" w:hAnsi="Arial Narrow" w:cs="Arial Narrow"/>
          <w:i/>
          <w:color w:val="000000"/>
          <w:sz w:val="24"/>
          <w:szCs w:val="24"/>
        </w:rPr>
        <w:t>Assoc</w:t>
      </w:r>
      <w:proofErr w:type="spellEnd"/>
      <w:r>
        <w:rPr>
          <w:rFonts w:ascii="Arial Narrow" w:eastAsia="Arial Narrow" w:hAnsi="Arial Narrow" w:cs="Arial Narrow"/>
          <w:i/>
          <w:color w:val="000000"/>
          <w:sz w:val="24"/>
          <w:szCs w:val="24"/>
        </w:rPr>
        <w:t xml:space="preserve">. Med. </w:t>
      </w:r>
      <w:proofErr w:type="spellStart"/>
      <w:r>
        <w:rPr>
          <w:rFonts w:ascii="Arial Narrow" w:eastAsia="Arial Narrow" w:hAnsi="Arial Narrow" w:cs="Arial Narrow"/>
          <w:i/>
          <w:color w:val="000000"/>
          <w:sz w:val="24"/>
          <w:szCs w:val="24"/>
        </w:rPr>
        <w:t>Bras</w:t>
      </w:r>
      <w:proofErr w:type="spellEnd"/>
      <w:r>
        <w:rPr>
          <w:rFonts w:ascii="Arial Narrow" w:eastAsia="Arial Narrow" w:hAnsi="Arial Narrow" w:cs="Arial Narrow"/>
          <w:i/>
          <w:color w:val="000000"/>
          <w:sz w:val="24"/>
          <w:szCs w:val="24"/>
        </w:rPr>
        <w:t xml:space="preserve">,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v.46, n.1, p. 70-76, 2000. </w:t>
      </w:r>
    </w:p>
    <w:p w:rsidR="00F22917" w:rsidRDefault="00F22917" w:rsidP="00F2291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80"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BRASIL. Assistência Farmacêutica na Atenção Básica: instruções técnicas para sua organização. Ministério da Saúde, Secretaria de Políticas de Saúde. 1ª Ed. 2001.</w:t>
      </w:r>
    </w:p>
    <w:p w:rsidR="00F22917" w:rsidRDefault="00F22917" w:rsidP="00F2291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80"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BRASIL. CONSELHO FEDERAL DE FARMÁCIA. Resolução nº 357 de 20 de abril de 2001. Aprova o regulamento técnico das Boas Práticas de Farmácia. Diário Oficial de República Federativa do Brasil, Brasília 27 abr. 2001.</w:t>
      </w:r>
    </w:p>
    <w:p w:rsidR="00F22917" w:rsidRDefault="00F22917" w:rsidP="00F2291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80"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BRASIL. CONSELHO FEDERAL DE FARMÁCIA. Resolução nº 585 de 29 de agosto de 2013. Regulamenta as atribuições clínicas do farmacêutico e dá outras providências. Diário Oficial de República Federativa do Brasil, Brasília, DF, 27 de set. 2013.</w:t>
      </w:r>
    </w:p>
    <w:p w:rsidR="00F22917" w:rsidRDefault="00F22917" w:rsidP="00F2291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80"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BRASIL. CONSELHO FEDERAL DE FARMÁCIA. Resolução nº 586 de 29 de agosto de 2013. Regula a prescrição farmacêutica e dá outras providências. Regulamenta as atribuições clínicas do farmacêutico e dá outras providências. Diário Oficial de República Federativa do Brasil, Brasília, DF, 27 de set. 2013.</w:t>
      </w:r>
    </w:p>
    <w:p w:rsidR="00F22917" w:rsidRDefault="00F22917" w:rsidP="00F2291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BRASIL. CONSELHO FEDERAL DE FARMÁCIA. Resolução nº 596 de 21 de fevereiro de 2014. Dispõe sobre o Código de Ética Farmacêutica, o Código de Processo Ético e estabelece as infrações e as regras de aplicação das sanções disciplinares. Diário Oficial de República Federativa do Brasil, Brasília, 25 mar 2014.</w:t>
      </w:r>
    </w:p>
    <w:p w:rsidR="00F22917" w:rsidRDefault="00F22917" w:rsidP="00F2291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80"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BRASIL. Lei nº 5991 de 17 de dezembro de 1973. Dispõe sobre o controle sanitário do comércio de drogas, medicamentos, insumos farmacêuticos e correlatos, e dá outras providências. Diário Oficial de República Federativa do Brasil, Brasília 19 dez. 1973.</w:t>
      </w:r>
    </w:p>
    <w:p w:rsidR="00F22917" w:rsidRDefault="00F22917" w:rsidP="00F2291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80"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BRASIL. Lei nº 6360 de 23 de setembro de 1976. Dispõe sobre a vigilância sanitária a que ficam sujeitos os medicamentos, as drogas, os insumos farmacêuticos e correlatos, cosméticos, saneantes e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lastRenderedPageBreak/>
        <w:t>outros produtos, e dá outras providências. Diário Oficial de República Federativa do Brasil, Brasília 24 set. 1976.</w:t>
      </w:r>
    </w:p>
    <w:p w:rsidR="00F22917" w:rsidRDefault="00F22917" w:rsidP="00F2291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BRASIL. Lei nº 8080 de 19 de setembro de 1990. Dispõe sobre as condições para a promoção, proteção e recuperação da saúde, a organização e o funcionamento dos serviços correspondentes e dá outras providências. Diário Oficial de República Federativa do Brasil, Brasília 20 set. 1990.</w:t>
      </w:r>
    </w:p>
    <w:p w:rsidR="00F22917" w:rsidRDefault="00F22917" w:rsidP="00F2291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BRASIL. Lei nº 8142 de 28 de dezembro de 1990. Dispõe sobre a participação da comunidade na gestão do Sistema Único de Saúde (SUS) e sobre as transferências intergovernamentais de recursos financeiros na área da saúde e dá outras providências. Diário Oficial da República Federativa do Brasil, Brasília 31 dez. 1990.</w:t>
      </w:r>
    </w:p>
    <w:p w:rsidR="00F22917" w:rsidRDefault="00F22917" w:rsidP="00F2291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BRASIL. Lei nº 9787 de 10 de fevereiro de 1999. Altera a Lei n o 6.360, de 23 de setembro de 1976, que dispõe sobre a vigilância sanitária, estabelece o medicamento genérico, dispõe sobre a utilização de nomes genéricos em produtos farmacêuticos e dá outras providências. Diário Oficial da República Federativa do Brasil, Brasília 11 fev. 1999.</w:t>
      </w:r>
    </w:p>
    <w:p w:rsidR="00F22917" w:rsidRDefault="00F22917" w:rsidP="00F2291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BRASIL. Ministério da Saúde. Instrução Normativa nº 11 de 31 de outubro de 2007. Dispõe sobre orientação de procedimentos para </w:t>
      </w:r>
      <w:proofErr w:type="gramStart"/>
      <w:r>
        <w:rPr>
          <w:rFonts w:ascii="Arial Narrow" w:eastAsia="Arial Narrow" w:hAnsi="Arial Narrow" w:cs="Arial Narrow"/>
          <w:color w:val="000000"/>
          <w:sz w:val="24"/>
          <w:szCs w:val="24"/>
        </w:rPr>
        <w:t>implementação</w:t>
      </w:r>
      <w:proofErr w:type="gram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e cumprimento da Resolução de Diretoria Colegiada – RDC nº 27 de 2007. Diário Oficial de República Federativa do Brasil, Brasília </w:t>
      </w:r>
      <w:proofErr w:type="gramStart"/>
      <w:r>
        <w:rPr>
          <w:rFonts w:ascii="Arial Narrow" w:eastAsia="Arial Narrow" w:hAnsi="Arial Narrow" w:cs="Arial Narrow"/>
          <w:color w:val="000000"/>
          <w:sz w:val="24"/>
          <w:szCs w:val="24"/>
        </w:rPr>
        <w:t>1</w:t>
      </w:r>
      <w:proofErr w:type="gram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nov. 2007.</w:t>
      </w:r>
    </w:p>
    <w:p w:rsidR="00F22917" w:rsidRDefault="00F22917" w:rsidP="00F2291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BRASIL. Ministério da Saúde. Portaria SVS/MS nº 6, de 29 de janeiro de 1999. Aprova a Instrução Normativa da Portaria SVS/MS nº 344 de 12 de maio de 1998 que instituiu o Regulamento Técnico das substâncias e medicamentos sujeitos a controle especial. Diário Oficial de República Federativa do Brasil, Brasília </w:t>
      </w:r>
      <w:proofErr w:type="gramStart"/>
      <w:r>
        <w:rPr>
          <w:rFonts w:ascii="Arial Narrow" w:eastAsia="Arial Narrow" w:hAnsi="Arial Narrow" w:cs="Arial Narrow"/>
          <w:color w:val="000000"/>
          <w:sz w:val="24"/>
          <w:szCs w:val="24"/>
        </w:rPr>
        <w:t>1</w:t>
      </w:r>
      <w:proofErr w:type="gram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fev. 1999.</w:t>
      </w:r>
    </w:p>
    <w:p w:rsidR="00F22917" w:rsidRDefault="00F22917" w:rsidP="00F2291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BRASIL. Ministério da Saúde. RDC nº 44, de 17 de agosto de 2009. Dispõe sobre Boas Práticas Farmacêuticas para o controle sanitário do funcionamento, da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dispensação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e da comercialização de produtos e da prestação de serviços farmacêuticos em farmácias e drogarias e dá outras providências.</w:t>
      </w:r>
    </w:p>
    <w:p w:rsidR="00F22917" w:rsidRDefault="00F22917" w:rsidP="00F2291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BRASIL. Ministério da Saúde. Resolução RDC nº 10, de </w:t>
      </w:r>
      <w:proofErr w:type="gramStart"/>
      <w:r>
        <w:rPr>
          <w:rFonts w:ascii="Arial Narrow" w:eastAsia="Arial Narrow" w:hAnsi="Arial Narrow" w:cs="Arial Narrow"/>
          <w:color w:val="000000"/>
          <w:sz w:val="24"/>
          <w:szCs w:val="24"/>
        </w:rPr>
        <w:t>2</w:t>
      </w:r>
      <w:proofErr w:type="gram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de janeiro de 2001. Regulamento técnico para medicamentos genéricos. Diário Oficial da República Federativa do Brasil, Brasília 15 jan. 2001.</w:t>
      </w:r>
    </w:p>
    <w:p w:rsidR="00F22917" w:rsidRDefault="00F22917" w:rsidP="00F2291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lastRenderedPageBreak/>
        <w:t xml:space="preserve">BRASIL. Ministério da Saúde. Resolução RDC nº 17 de 02 de março de 2007. Dispõe sobre o registro de Medicamento Similar e dá outras providências. Diário Oficial de República Federativa do Brasil, Brasília </w:t>
      </w:r>
      <w:proofErr w:type="gramStart"/>
      <w:r>
        <w:rPr>
          <w:rFonts w:ascii="Arial Narrow" w:eastAsia="Arial Narrow" w:hAnsi="Arial Narrow" w:cs="Arial Narrow"/>
          <w:color w:val="000000"/>
          <w:sz w:val="24"/>
          <w:szCs w:val="24"/>
        </w:rPr>
        <w:t>5</w:t>
      </w:r>
      <w:proofErr w:type="gram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mar. 2007</w:t>
      </w:r>
    </w:p>
    <w:p w:rsidR="00F22917" w:rsidRDefault="00F22917" w:rsidP="00F2291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BRASIL. Ministério da Saúde. Resolução RDC nº 173 de 08 de julho de 2003. Altera o item </w:t>
      </w:r>
      <w:proofErr w:type="gramStart"/>
      <w:r>
        <w:rPr>
          <w:rFonts w:ascii="Arial Narrow" w:eastAsia="Arial Narrow" w:hAnsi="Arial Narrow" w:cs="Arial Narrow"/>
          <w:color w:val="000000"/>
          <w:sz w:val="24"/>
          <w:szCs w:val="24"/>
        </w:rPr>
        <w:t>5</w:t>
      </w:r>
      <w:proofErr w:type="gram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do Anexo da Resolução - RDC n.º 328, de 22 de julho de 1999, que trata do Regulamento Técnico que Institui as Boas Práticas de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Dispensação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em Farmácias e Drogarias. Diário Oficial de República Federativa do Brasil, Brasília </w:t>
      </w:r>
      <w:proofErr w:type="gramStart"/>
      <w:r>
        <w:rPr>
          <w:rFonts w:ascii="Arial Narrow" w:eastAsia="Arial Narrow" w:hAnsi="Arial Narrow" w:cs="Arial Narrow"/>
          <w:color w:val="000000"/>
          <w:sz w:val="24"/>
          <w:szCs w:val="24"/>
        </w:rPr>
        <w:t>9</w:t>
      </w:r>
      <w:proofErr w:type="gram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jul. 2003.</w:t>
      </w:r>
    </w:p>
    <w:p w:rsidR="00F22917" w:rsidRDefault="00F22917" w:rsidP="00F2291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BRASIL. Ministério da Saúde. Resolução RDC nº 27 de 30 de março de 2007. Dispõe sobre o Sistema de Gerenciamento de Produtos Controlados – SNGPC</w:t>
      </w:r>
      <w:proofErr w:type="gramStart"/>
      <w:r>
        <w:rPr>
          <w:rFonts w:ascii="Arial Narrow" w:eastAsia="Arial Narrow" w:hAnsi="Arial Narrow" w:cs="Arial Narrow"/>
          <w:color w:val="000000"/>
          <w:sz w:val="24"/>
          <w:szCs w:val="24"/>
        </w:rPr>
        <w:t>, estabelece</w:t>
      </w:r>
      <w:proofErr w:type="gram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a implantação do módulo para drogarias e farmácias e dá outras providências. Diário Oficial de República Federativa do Brasil, Brasília </w:t>
      </w:r>
      <w:proofErr w:type="gramStart"/>
      <w:r>
        <w:rPr>
          <w:rFonts w:ascii="Arial Narrow" w:eastAsia="Arial Narrow" w:hAnsi="Arial Narrow" w:cs="Arial Narrow"/>
          <w:color w:val="000000"/>
          <w:sz w:val="24"/>
          <w:szCs w:val="24"/>
        </w:rPr>
        <w:t>2</w:t>
      </w:r>
      <w:proofErr w:type="gram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abr. 2007.</w:t>
      </w:r>
    </w:p>
    <w:p w:rsidR="00F22917" w:rsidRDefault="00F22917" w:rsidP="00F2291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BRASIL. Ministério da Saúde. Resolução RDC nº 306 de 07 de dezembro de 2004. Dispõe sobre o Regulamento Técnico para o gerenciamento de resíduos de serviços de saúde. Diário Oficial de República Federativa do Brasil, Brasília 10 dez. 2004.</w:t>
      </w:r>
    </w:p>
    <w:p w:rsidR="00F22917" w:rsidRDefault="00F22917" w:rsidP="00F2291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BRASIL. Ministério da Saúde. Resolução RDC nº 328 de 22 de julho de 1999. Dispõe sobre requisitos exigidos para a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dispensação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de produtos de interesse à saúde em farmácias e drogarias. Diário Oficial de República Federativa do Brasil, Brasília 26 jul. 1999.</w:t>
      </w:r>
    </w:p>
    <w:p w:rsidR="00F22917" w:rsidRDefault="00F22917" w:rsidP="00F2291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BRASIL. Ministério da Saúde. Resolução RDC nº 53 de 30 de agosto de 2007. Altera os itens 1.2 e 2.1, </w:t>
      </w:r>
      <w:proofErr w:type="gramStart"/>
      <w:r>
        <w:rPr>
          <w:rFonts w:ascii="Arial Narrow" w:eastAsia="Arial Narrow" w:hAnsi="Arial Narrow" w:cs="Arial Narrow"/>
          <w:color w:val="000000"/>
          <w:sz w:val="24"/>
          <w:szCs w:val="24"/>
        </w:rPr>
        <w:t>ambos do item VI</w:t>
      </w:r>
      <w:proofErr w:type="gram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, do Anexo da Resolução RDC nº. 17, de </w:t>
      </w:r>
      <w:proofErr w:type="gramStart"/>
      <w:r>
        <w:rPr>
          <w:rFonts w:ascii="Arial Narrow" w:eastAsia="Arial Narrow" w:hAnsi="Arial Narrow" w:cs="Arial Narrow"/>
          <w:color w:val="000000"/>
          <w:sz w:val="24"/>
          <w:szCs w:val="24"/>
        </w:rPr>
        <w:t>2</w:t>
      </w:r>
      <w:proofErr w:type="gram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de março de 2007. Diário Oficial de República Federativa do Brasil, Brasília 31 ago. 2007.</w:t>
      </w:r>
    </w:p>
    <w:p w:rsidR="00F22917" w:rsidRDefault="00F22917" w:rsidP="00F2291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BRASIL. Ministério da Saúde. Resolução RDC nº 58 de </w:t>
      </w:r>
      <w:proofErr w:type="gramStart"/>
      <w:r>
        <w:rPr>
          <w:rFonts w:ascii="Arial Narrow" w:eastAsia="Arial Narrow" w:hAnsi="Arial Narrow" w:cs="Arial Narrow"/>
          <w:color w:val="000000"/>
          <w:sz w:val="24"/>
          <w:szCs w:val="24"/>
        </w:rPr>
        <w:t>5</w:t>
      </w:r>
      <w:proofErr w:type="gram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de setembro de 2007. Dispõe sobre o aperfeiçoamento do controle e fiscalização de substâncias psicotrópicas anorexígenas e dá outras providências. Diário Oficial de República Federativa do Brasil, Brasília </w:t>
      </w:r>
      <w:proofErr w:type="gramStart"/>
      <w:r>
        <w:rPr>
          <w:rFonts w:ascii="Arial Narrow" w:eastAsia="Arial Narrow" w:hAnsi="Arial Narrow" w:cs="Arial Narrow"/>
          <w:color w:val="000000"/>
          <w:sz w:val="24"/>
          <w:szCs w:val="24"/>
        </w:rPr>
        <w:t>6</w:t>
      </w:r>
      <w:proofErr w:type="gram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set. 2007.</w:t>
      </w:r>
    </w:p>
    <w:p w:rsidR="00F22917" w:rsidRDefault="00F22917" w:rsidP="00F2291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F22917" w:rsidRDefault="00F22917" w:rsidP="00F2291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BRASIL. Ministério da Saúde. Secretaria de Ciência, Tecnologia e Insumos Estratégicos. Uso racional de medicamentos: temas selecionados/Ministério da Saúde, Secretaria de Ciência, Tecnologia e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lastRenderedPageBreak/>
        <w:t>Insumos Estratégicos. Brasília: Ministério da Saúde, 2012. 156p (Série A. Normas e Manuais Técnicos).</w:t>
      </w:r>
    </w:p>
    <w:p w:rsidR="00F22917" w:rsidRDefault="00F22917" w:rsidP="00F2291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Brasil. Ministério da Saúde. Secretaria de Vigilância Sanitária. Portaria n. 344, de 12 de maio de 1998. Aprova o regulamento técnico sobre substâncias e medicamentos sujeitos a controle especial. Diário Oficial de República Federativa do Brasil, Brasília (DF). 31 dez 1998. </w:t>
      </w:r>
    </w:p>
    <w:p w:rsidR="00F22917" w:rsidRDefault="00F22917" w:rsidP="00F2291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BRASIL. Resolução – RDC nº 138, de 29 de maio de 2003. Dispõe sobre o enquadramento na categoria de venda de medicamentos. Diário Oficial de República Federativa do Brasil, 02 de jun. 2003.</w:t>
      </w:r>
    </w:p>
    <w:p w:rsidR="00F22917" w:rsidRDefault="00F22917" w:rsidP="00F2291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BRASIL. Resolução nº 391 de 09 de agosto de 1999. Aprova o Regulamento Técnico para Medicamentos Genéricos. Diário Oficial da União, 10 de ago de 1999.</w:t>
      </w:r>
    </w:p>
    <w:p w:rsidR="00F22917" w:rsidRDefault="00F22917" w:rsidP="00F2291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BRASIL. Secretaria da Saúde do estado do Paraná. Resolução nº 590 de 05 de setembro de 2014. Estabelece a Norma Técnica para abertura, funcionamento, condições físicas, técnicas e sanitárias de farmácias e drogarias no Paraná. Diário Oficial do Estado nº 9287, de 10 set. de 2014.</w:t>
      </w:r>
    </w:p>
    <w:p w:rsidR="00F22917" w:rsidRDefault="00F22917" w:rsidP="00F2291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F22917" w:rsidRDefault="00F22917" w:rsidP="00F2291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CARVALHO, Francisco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Edinaldo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Lira de; PIGNOLATI, Gisele Medeiros; CAMPOS, Antônio Jorge Cunha. A Aplicação das metodologias ABC e XYZ na gestão logística de sistemas de saúde.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Revista Gestão da Produção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: uma visão sobre as organizações da Amazônia, p. 137-151. Manaus: ABREPO, 2006.</w:t>
      </w:r>
    </w:p>
    <w:p w:rsidR="00F22917" w:rsidRDefault="00F22917" w:rsidP="00F2291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CIPOLLE, R. J. O exercício do cuidado farmacêutico/Robert J.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Cipolle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, Linda M.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Strand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, Peter C. – Tradução: Denise Borges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Bittar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; Revisão Técnica: Arnaldo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Zubioli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>. Brasília: Conselho Federal de Farmácia. 2006. 396p.</w:t>
      </w:r>
    </w:p>
    <w:p w:rsidR="00F22917" w:rsidRDefault="00F22917" w:rsidP="00F2291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CONSTITUIÇÃO DA REPÚBLICA FEDERATIVA DO BRASIL DE 1988. Artigos de 196 a 200. Casa Civil: Presidência da República. Brasília </w:t>
      </w:r>
      <w:proofErr w:type="gramStart"/>
      <w:r>
        <w:rPr>
          <w:rFonts w:ascii="Arial Narrow" w:eastAsia="Arial Narrow" w:hAnsi="Arial Narrow" w:cs="Arial Narrow"/>
          <w:color w:val="000000"/>
          <w:sz w:val="24"/>
          <w:szCs w:val="24"/>
        </w:rPr>
        <w:t>5</w:t>
      </w:r>
      <w:proofErr w:type="gram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out. 1988.</w:t>
      </w:r>
    </w:p>
    <w:p w:rsidR="00F22917" w:rsidRDefault="00F22917" w:rsidP="00F2291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F22917" w:rsidRDefault="00F22917" w:rsidP="00F2291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lastRenderedPageBreak/>
        <w:t xml:space="preserve">CUNHA, Fernando Lopes de Souza </w:t>
      </w:r>
      <w:proofErr w:type="spellStart"/>
      <w:proofErr w:type="gramStart"/>
      <w:r>
        <w:rPr>
          <w:rFonts w:ascii="Arial Narrow" w:eastAsia="Arial Narrow" w:hAnsi="Arial Narrow" w:cs="Arial Narrow"/>
          <w:color w:val="000000"/>
          <w:sz w:val="24"/>
          <w:szCs w:val="24"/>
        </w:rPr>
        <w:t>da.</w:t>
      </w:r>
      <w:proofErr w:type="spellEnd"/>
      <w:proofErr w:type="gram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A aplicação da aliança logística: estudo de caso em hospitais da Universidade Federal do Ceará.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Revista Ciência e Administração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, v.9, n.2, p. 132-151, dez. 2003. Fortaleza, 2003.</w:t>
      </w:r>
    </w:p>
    <w:p w:rsidR="00F22917" w:rsidRDefault="00F22917" w:rsidP="00F2291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Dicionário de Especialidades Farmacêuticas 2016. 44ª Ed. Rio de </w:t>
      </w:r>
      <w:proofErr w:type="gramStart"/>
      <w:r>
        <w:rPr>
          <w:rFonts w:ascii="Arial Narrow" w:eastAsia="Arial Narrow" w:hAnsi="Arial Narrow" w:cs="Arial Narrow"/>
          <w:color w:val="000000"/>
          <w:sz w:val="24"/>
          <w:szCs w:val="24"/>
        </w:rPr>
        <w:t>Janeiro :</w:t>
      </w:r>
      <w:proofErr w:type="gram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Editora de Publicações Médicas Ltda.</w:t>
      </w:r>
    </w:p>
    <w:p w:rsidR="00F22917" w:rsidRPr="00F22917" w:rsidRDefault="00F22917" w:rsidP="00F2291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  <w:lang w:val="en-US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FUCHS, F. </w:t>
      </w:r>
      <w:proofErr w:type="gramStart"/>
      <w:r>
        <w:rPr>
          <w:rFonts w:ascii="Arial Narrow" w:eastAsia="Arial Narrow" w:hAnsi="Arial Narrow" w:cs="Arial Narrow"/>
          <w:color w:val="000000"/>
          <w:sz w:val="24"/>
          <w:szCs w:val="24"/>
        </w:rPr>
        <w:t>D.</w:t>
      </w:r>
      <w:proofErr w:type="gram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; WANNMACHER, L. Farmacologia Clínica: Fundamentos da Terapêutica Racional. </w:t>
      </w:r>
      <w:r w:rsidRPr="00F22917">
        <w:rPr>
          <w:rFonts w:ascii="Arial Narrow" w:eastAsia="Arial Narrow" w:hAnsi="Arial Narrow" w:cs="Arial Narrow"/>
          <w:color w:val="000000"/>
          <w:sz w:val="24"/>
          <w:szCs w:val="24"/>
          <w:lang w:val="en-US"/>
        </w:rPr>
        <w:t xml:space="preserve">4a ed. Rio de Janeiro: Guanabara </w:t>
      </w:r>
      <w:proofErr w:type="spellStart"/>
      <w:r w:rsidRPr="00F22917">
        <w:rPr>
          <w:rFonts w:ascii="Arial Narrow" w:eastAsia="Arial Narrow" w:hAnsi="Arial Narrow" w:cs="Arial Narrow"/>
          <w:color w:val="000000"/>
          <w:sz w:val="24"/>
          <w:szCs w:val="24"/>
          <w:lang w:val="en-US"/>
        </w:rPr>
        <w:t>Koogan</w:t>
      </w:r>
      <w:proofErr w:type="spellEnd"/>
      <w:r w:rsidRPr="00F22917">
        <w:rPr>
          <w:rFonts w:ascii="Arial Narrow" w:eastAsia="Arial Narrow" w:hAnsi="Arial Narrow" w:cs="Arial Narrow"/>
          <w:color w:val="000000"/>
          <w:sz w:val="24"/>
          <w:szCs w:val="24"/>
          <w:lang w:val="en-US"/>
        </w:rPr>
        <w:t>, 2010.</w:t>
      </w:r>
    </w:p>
    <w:p w:rsidR="00F22917" w:rsidRPr="00BD572C" w:rsidRDefault="00F22917" w:rsidP="00F2291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proofErr w:type="gramStart"/>
      <w:r w:rsidRPr="00867BEF">
        <w:rPr>
          <w:rFonts w:ascii="Arial Narrow" w:eastAsia="Arial Narrow" w:hAnsi="Arial Narrow" w:cs="Arial Narrow"/>
          <w:color w:val="000000"/>
          <w:sz w:val="24"/>
          <w:szCs w:val="24"/>
          <w:lang w:val="en-US"/>
        </w:rPr>
        <w:t>HEPLER, C.D.; STRAND, L.M.</w:t>
      </w:r>
      <w:r w:rsidRPr="00867BEF">
        <w:rPr>
          <w:rFonts w:ascii="Arial Narrow" w:eastAsia="Arial Narrow" w:hAnsi="Arial Narrow" w:cs="Arial Narrow"/>
          <w:b/>
          <w:color w:val="000000"/>
          <w:sz w:val="24"/>
          <w:szCs w:val="24"/>
          <w:lang w:val="en-US"/>
        </w:rPr>
        <w:t xml:space="preserve"> </w:t>
      </w:r>
      <w:r w:rsidRPr="00867BEF">
        <w:rPr>
          <w:rFonts w:ascii="Arial Narrow" w:eastAsia="Arial Narrow" w:hAnsi="Arial Narrow" w:cs="Arial Narrow"/>
          <w:color w:val="000000"/>
          <w:sz w:val="24"/>
          <w:szCs w:val="24"/>
          <w:lang w:val="en-US"/>
        </w:rPr>
        <w:t>Opportunities and responsibilities in pharmaceutical care.</w:t>
      </w:r>
      <w:proofErr w:type="gramEnd"/>
      <w:r w:rsidRPr="00867BEF">
        <w:rPr>
          <w:rFonts w:ascii="Arial Narrow" w:eastAsia="Arial Narrow" w:hAnsi="Arial Narrow" w:cs="Arial Narrow"/>
          <w:b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BD572C">
        <w:rPr>
          <w:rFonts w:ascii="Arial Narrow" w:eastAsia="Arial Narrow" w:hAnsi="Arial Narrow" w:cs="Arial Narrow"/>
          <w:color w:val="000000"/>
          <w:sz w:val="24"/>
          <w:szCs w:val="24"/>
        </w:rPr>
        <w:t>Am</w:t>
      </w:r>
      <w:proofErr w:type="spellEnd"/>
      <w:proofErr w:type="gramEnd"/>
      <w:r w:rsidRPr="00BD572C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J </w:t>
      </w:r>
      <w:proofErr w:type="spellStart"/>
      <w:r w:rsidRPr="00BD572C">
        <w:rPr>
          <w:rFonts w:ascii="Arial Narrow" w:eastAsia="Arial Narrow" w:hAnsi="Arial Narrow" w:cs="Arial Narrow"/>
          <w:color w:val="000000"/>
          <w:sz w:val="24"/>
          <w:szCs w:val="24"/>
        </w:rPr>
        <w:t>Hosp</w:t>
      </w:r>
      <w:proofErr w:type="spellEnd"/>
      <w:r w:rsidRPr="00BD572C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Pr="00BD572C">
        <w:rPr>
          <w:rFonts w:ascii="Arial Narrow" w:eastAsia="Arial Narrow" w:hAnsi="Arial Narrow" w:cs="Arial Narrow"/>
          <w:color w:val="000000"/>
          <w:sz w:val="24"/>
          <w:szCs w:val="24"/>
        </w:rPr>
        <w:t>Pharm</w:t>
      </w:r>
      <w:proofErr w:type="spellEnd"/>
      <w:r w:rsidRPr="00BD572C">
        <w:rPr>
          <w:rFonts w:ascii="Arial Narrow" w:eastAsia="Arial Narrow" w:hAnsi="Arial Narrow" w:cs="Arial Narrow"/>
          <w:color w:val="000000"/>
          <w:sz w:val="24"/>
          <w:szCs w:val="24"/>
        </w:rPr>
        <w:t>.1990; 47(3):533–543.</w:t>
      </w:r>
    </w:p>
    <w:p w:rsidR="00F22917" w:rsidRPr="00BD572C" w:rsidRDefault="00F22917" w:rsidP="00F2291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F22917" w:rsidRDefault="00F22917" w:rsidP="00F2291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INFANTE, Maria; SANTOS, Maria Angélica Borges dos. A organização do abastecimento do hospital público a partir da cadeia produtiva: uma abordagem logística para a área de saúde. Revista Ciência e Saúde Coletiva, julho-agosto, v.12, n.4, p.945-954. Rio de Janeiro: Associação Brasileira de Pós-Graduação em Saúde Coletiva, 2007.</w:t>
      </w:r>
    </w:p>
    <w:p w:rsidR="00F22917" w:rsidRDefault="00F44F33" w:rsidP="00F2291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hyperlink r:id="rId13">
        <w:proofErr w:type="gramStart"/>
        <w:r w:rsidR="00F22917" w:rsidRPr="00867BEF">
          <w:rPr>
            <w:rFonts w:ascii="Arial Narrow" w:eastAsia="Arial Narrow" w:hAnsi="Arial Narrow" w:cs="Arial Narrow"/>
            <w:color w:val="000000"/>
            <w:sz w:val="24"/>
            <w:szCs w:val="24"/>
            <w:u w:val="single"/>
            <w:lang w:val="en-US"/>
          </w:rPr>
          <w:t xml:space="preserve">Laurence L. </w:t>
        </w:r>
        <w:proofErr w:type="spellStart"/>
        <w:r w:rsidR="00F22917" w:rsidRPr="00867BEF">
          <w:rPr>
            <w:rFonts w:ascii="Arial Narrow" w:eastAsia="Arial Narrow" w:hAnsi="Arial Narrow" w:cs="Arial Narrow"/>
            <w:color w:val="000000"/>
            <w:sz w:val="24"/>
            <w:szCs w:val="24"/>
            <w:u w:val="single"/>
            <w:lang w:val="en-US"/>
          </w:rPr>
          <w:t>Brunton</w:t>
        </w:r>
        <w:proofErr w:type="spellEnd"/>
      </w:hyperlink>
      <w:r w:rsidR="00F22917" w:rsidRPr="00867BEF">
        <w:rPr>
          <w:rFonts w:ascii="Arial Narrow" w:eastAsia="Arial Narrow" w:hAnsi="Arial Narrow" w:cs="Arial Narrow"/>
          <w:color w:val="000000"/>
          <w:sz w:val="24"/>
          <w:szCs w:val="24"/>
          <w:lang w:val="en-US"/>
        </w:rPr>
        <w:t xml:space="preserve">; </w:t>
      </w:r>
      <w:hyperlink r:id="rId14">
        <w:r w:rsidR="00F22917" w:rsidRPr="00867BEF">
          <w:rPr>
            <w:rFonts w:ascii="Arial Narrow" w:eastAsia="Arial Narrow" w:hAnsi="Arial Narrow" w:cs="Arial Narrow"/>
            <w:color w:val="000000"/>
            <w:sz w:val="24"/>
            <w:szCs w:val="24"/>
            <w:u w:val="single"/>
            <w:lang w:val="en-US"/>
          </w:rPr>
          <w:t xml:space="preserve">Bruce A. </w:t>
        </w:r>
        <w:proofErr w:type="spellStart"/>
        <w:r w:rsidR="00F22917" w:rsidRPr="00867BEF">
          <w:rPr>
            <w:rFonts w:ascii="Arial Narrow" w:eastAsia="Arial Narrow" w:hAnsi="Arial Narrow" w:cs="Arial Narrow"/>
            <w:color w:val="000000"/>
            <w:sz w:val="24"/>
            <w:szCs w:val="24"/>
            <w:u w:val="single"/>
            <w:lang w:val="en-US"/>
          </w:rPr>
          <w:t>Chabner</w:t>
        </w:r>
        <w:proofErr w:type="spellEnd"/>
      </w:hyperlink>
      <w:r w:rsidR="00F22917" w:rsidRPr="00867BEF">
        <w:rPr>
          <w:rFonts w:ascii="Arial Narrow" w:eastAsia="Arial Narrow" w:hAnsi="Arial Narrow" w:cs="Arial Narrow"/>
          <w:color w:val="000000"/>
          <w:sz w:val="24"/>
          <w:szCs w:val="24"/>
          <w:lang w:val="en-US"/>
        </w:rPr>
        <w:t xml:space="preserve">; </w:t>
      </w:r>
      <w:hyperlink r:id="rId15">
        <w:proofErr w:type="spellStart"/>
        <w:r w:rsidR="00F22917" w:rsidRPr="00867BEF">
          <w:rPr>
            <w:rFonts w:ascii="Arial Narrow" w:eastAsia="Arial Narrow" w:hAnsi="Arial Narrow" w:cs="Arial Narrow"/>
            <w:color w:val="000000"/>
            <w:sz w:val="24"/>
            <w:szCs w:val="24"/>
            <w:u w:val="single"/>
            <w:lang w:val="en-US"/>
          </w:rPr>
          <w:t>Björn</w:t>
        </w:r>
        <w:proofErr w:type="spellEnd"/>
        <w:r w:rsidR="00F22917" w:rsidRPr="00867BEF">
          <w:rPr>
            <w:rFonts w:ascii="Arial Narrow" w:eastAsia="Arial Narrow" w:hAnsi="Arial Narrow" w:cs="Arial Narrow"/>
            <w:color w:val="000000"/>
            <w:sz w:val="24"/>
            <w:szCs w:val="24"/>
            <w:u w:val="single"/>
            <w:lang w:val="en-US"/>
          </w:rPr>
          <w:t xml:space="preserve"> C. </w:t>
        </w:r>
        <w:proofErr w:type="spellStart"/>
        <w:r w:rsidR="00F22917" w:rsidRPr="00867BEF">
          <w:rPr>
            <w:rFonts w:ascii="Arial Narrow" w:eastAsia="Arial Narrow" w:hAnsi="Arial Narrow" w:cs="Arial Narrow"/>
            <w:color w:val="000000"/>
            <w:sz w:val="24"/>
            <w:szCs w:val="24"/>
            <w:u w:val="single"/>
            <w:lang w:val="en-US"/>
          </w:rPr>
          <w:t>Knollmann</w:t>
        </w:r>
        <w:proofErr w:type="spellEnd"/>
      </w:hyperlink>
      <w:r w:rsidR="00F22917" w:rsidRPr="00867BEF">
        <w:rPr>
          <w:rFonts w:ascii="Arial Narrow" w:eastAsia="Arial Narrow" w:hAnsi="Arial Narrow" w:cs="Arial Narrow"/>
          <w:color w:val="000000"/>
          <w:sz w:val="24"/>
          <w:szCs w:val="24"/>
          <w:lang w:val="en-US"/>
        </w:rPr>
        <w:t>.</w:t>
      </w:r>
      <w:proofErr w:type="gramEnd"/>
      <w:r w:rsidR="00F22917" w:rsidRPr="00867BEF">
        <w:rPr>
          <w:rFonts w:ascii="Arial Narrow" w:eastAsia="Arial Narrow" w:hAnsi="Arial Narrow" w:cs="Arial Narrow"/>
          <w:color w:val="000000"/>
          <w:sz w:val="24"/>
          <w:szCs w:val="24"/>
          <w:lang w:val="en-US"/>
        </w:rPr>
        <w:t xml:space="preserve"> </w:t>
      </w:r>
      <w:r w:rsidR="00F22917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As bases farmacológicas da terapêutica de </w:t>
      </w:r>
      <w:proofErr w:type="spellStart"/>
      <w:r w:rsidR="00F22917">
        <w:rPr>
          <w:rFonts w:ascii="Arial Narrow" w:eastAsia="Arial Narrow" w:hAnsi="Arial Narrow" w:cs="Arial Narrow"/>
          <w:color w:val="000000"/>
          <w:sz w:val="24"/>
          <w:szCs w:val="24"/>
        </w:rPr>
        <w:t>Goodman</w:t>
      </w:r>
      <w:proofErr w:type="spellEnd"/>
      <w:r w:rsidR="00F22917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&amp; Gilman. 12a ed. Porto Alegre: AMGH; 2012. </w:t>
      </w:r>
    </w:p>
    <w:p w:rsidR="00F22917" w:rsidRDefault="00F22917" w:rsidP="00F2291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F22917" w:rsidRDefault="00F22917" w:rsidP="00F2291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LEITE, Paulo Roberto.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Logística Reversa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: nova área da logística empresarial. Revista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Tecnologística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>, Junho, 2002. São Paulo: 2002.</w:t>
      </w:r>
    </w:p>
    <w:p w:rsidR="00F22917" w:rsidRDefault="00F22917" w:rsidP="00F2291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F22917" w:rsidRDefault="00F22917" w:rsidP="00F2291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MARTINS, Petrônio Garcia; ALT, Paulo Renato Campos.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Administração de materiais e recursos patrimoniais.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São Paulo: </w:t>
      </w:r>
      <w:proofErr w:type="gramStart"/>
      <w:r>
        <w:rPr>
          <w:rFonts w:ascii="Arial Narrow" w:eastAsia="Arial Narrow" w:hAnsi="Arial Narrow" w:cs="Arial Narrow"/>
          <w:color w:val="000000"/>
          <w:sz w:val="24"/>
          <w:szCs w:val="24"/>
        </w:rPr>
        <w:t>Saraiva,</w:t>
      </w:r>
      <w:proofErr w:type="gram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2001.</w:t>
      </w:r>
    </w:p>
    <w:p w:rsidR="00F22917" w:rsidRDefault="00F22917" w:rsidP="00F2291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F22917" w:rsidRDefault="00F22917" w:rsidP="00F2291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NOVAES, H. M. D. Avaliação de programas, serviços e tecnologias em saúde.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Rev. Saúde Pública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,  v. 34, n. 5, p. 547-549,  2000.</w:t>
      </w:r>
    </w:p>
    <w:p w:rsidR="00F22917" w:rsidRDefault="00F22917" w:rsidP="00F2291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F22917" w:rsidRDefault="00F22917" w:rsidP="00F2291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lastRenderedPageBreak/>
        <w:t xml:space="preserve">OSORIO-DE-CASTRO, CGS; Luiza VL; Castilho SR; Oliveira MA;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Jaramillo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NM; Assistência Farmacêutica: gestão e prática para profissionais de saúde. Rio de Janeiro: Editora Fiocruz, 2014. 469p.</w:t>
      </w:r>
    </w:p>
    <w:p w:rsidR="00F22917" w:rsidRDefault="00F22917" w:rsidP="00F2291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PARANÁ. Resolução nº 54 de 09 de junho de 1996. Aprova Norma Técnica para orientar a abertura, funcionamento, as condições físicas, técnicas e sanitárias, e a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dispensação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de medicamentos em farmácias e drogarias. Diário Oficial do Estado nº 4378, 14 jun. 1996.</w:t>
      </w:r>
    </w:p>
    <w:p w:rsidR="00F22917" w:rsidRDefault="00F22917" w:rsidP="00F2291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F22917" w:rsidRDefault="00F22917" w:rsidP="00F2291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PEREIRA, Moacir. Logística Hospitalar: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Reposição continua de medicamentos na farmácia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. </w:t>
      </w:r>
      <w:proofErr w:type="gramStart"/>
      <w:r>
        <w:rPr>
          <w:rFonts w:ascii="Arial Narrow" w:eastAsia="Arial Narrow" w:hAnsi="Arial Narrow" w:cs="Arial Narrow"/>
          <w:color w:val="000000"/>
          <w:sz w:val="24"/>
          <w:szCs w:val="24"/>
        </w:rPr>
        <w:t>Editora Moinho</w:t>
      </w:r>
      <w:proofErr w:type="gram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Editorial, 2008.</w:t>
      </w:r>
    </w:p>
    <w:p w:rsidR="00F22917" w:rsidRDefault="00F22917" w:rsidP="00F2291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F22917" w:rsidRDefault="00F22917" w:rsidP="00F2291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SANTOS, Gustavo A. A. dos.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Gestão de farmácia hospitalar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. Editora </w:t>
      </w:r>
      <w:proofErr w:type="spellStart"/>
      <w:proofErr w:type="gramStart"/>
      <w:r>
        <w:rPr>
          <w:rFonts w:ascii="Arial Narrow" w:eastAsia="Arial Narrow" w:hAnsi="Arial Narrow" w:cs="Arial Narrow"/>
          <w:color w:val="000000"/>
          <w:sz w:val="24"/>
          <w:szCs w:val="24"/>
        </w:rPr>
        <w:t>senac</w:t>
      </w:r>
      <w:proofErr w:type="spellEnd"/>
      <w:proofErr w:type="gram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– SP. 2008</w:t>
      </w:r>
    </w:p>
    <w:p w:rsidR="00F22917" w:rsidRDefault="00F22917" w:rsidP="00F2291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F22917" w:rsidRDefault="00F22917" w:rsidP="00F2291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STORPIRTIS, S.; MORI, A. L. P. M.; YOCHIY, A.; RIBEIRO, E</w:t>
      </w:r>
      <w:proofErr w:type="gramStart"/>
      <w:r>
        <w:rPr>
          <w:rFonts w:ascii="Arial Narrow" w:eastAsia="Arial Narrow" w:hAnsi="Arial Narrow" w:cs="Arial Narrow"/>
          <w:color w:val="000000"/>
          <w:sz w:val="24"/>
          <w:szCs w:val="24"/>
        </w:rPr>
        <w:t>.,</w:t>
      </w:r>
      <w:proofErr w:type="gram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P. , VALENTINA. Farmácia clínica e atenção farmacêutica. Rio de Janeiro: Guanabara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Koogan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, 2008. </w:t>
      </w:r>
    </w:p>
    <w:p w:rsidR="00F22917" w:rsidRDefault="00F22917" w:rsidP="00F2291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VAZ,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J.C.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;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Lotta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G.S.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A contribuição da logística integrada às decisões de gestão das políticas públicas no Brasil. Revista de Administração Pública, v.45, n.1, p.107-139, 2011.</w:t>
      </w:r>
    </w:p>
    <w:p w:rsidR="00F22917" w:rsidRDefault="00F22917" w:rsidP="00F2291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ZUBIOLI, A. A Farmácia Clinica na Farmácia Comunitária. Brasília: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Ethosfarma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>: Cidade Gráfica, 2001.</w:t>
      </w:r>
    </w:p>
    <w:p w:rsidR="00F22917" w:rsidRDefault="00F22917" w:rsidP="00F2291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ZUBIOLI, A. Ética Farmacêutica. São Paulo: Sociedade Brasileira de Vigilância de Medicamentos, 2004.</w:t>
      </w:r>
    </w:p>
    <w:p w:rsidR="00F22917" w:rsidRDefault="00F22917" w:rsidP="00F2291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F22917" w:rsidRDefault="00F22917" w:rsidP="00F229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85"/>
        <w:jc w:val="right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Maringá, </w:t>
      </w:r>
      <w:r>
        <w:rPr>
          <w:rFonts w:ascii="Arial Narrow" w:eastAsia="Arial Narrow" w:hAnsi="Arial Narrow" w:cs="Arial Narrow"/>
          <w:sz w:val="24"/>
          <w:szCs w:val="24"/>
        </w:rPr>
        <w:t>19 de fevereiro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de 2020.</w:t>
      </w:r>
    </w:p>
    <w:p w:rsidR="00F22917" w:rsidRDefault="00F22917" w:rsidP="00F229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85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noProof/>
          <w:color w:val="000000"/>
          <w:sz w:val="24"/>
          <w:szCs w:val="24"/>
        </w:rPr>
        <w:drawing>
          <wp:inline distT="0" distB="0" distL="114300" distR="114300">
            <wp:extent cx="2148205" cy="641350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8205" cy="641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22917" w:rsidRDefault="00F22917" w:rsidP="00F229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85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Profa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. Dra.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Gislaine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Franco de Moura Costa</w:t>
      </w:r>
    </w:p>
    <w:p w:rsidR="00F22917" w:rsidRDefault="00F22917" w:rsidP="00F229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85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Coordenadora do Programa de Pós-Graduação em Assistência Farmacêutica - PROFAR</w:t>
      </w:r>
    </w:p>
    <w:p w:rsidR="00F22917" w:rsidRDefault="00F22917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85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sectPr w:rsidR="00F22917" w:rsidSect="00F44D72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985" w:right="1106" w:bottom="1418" w:left="1800" w:header="1077" w:footer="79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278" w:rsidRDefault="00F95278" w:rsidP="00F44D72">
      <w:r>
        <w:separator/>
      </w:r>
    </w:p>
  </w:endnote>
  <w:endnote w:type="continuationSeparator" w:id="0">
    <w:p w:rsidR="00F95278" w:rsidRDefault="00F95278" w:rsidP="00F44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rsi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D72" w:rsidRDefault="00F44D7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8"/>
        <w:szCs w:val="18"/>
      </w:rPr>
    </w:pPr>
  </w:p>
  <w:p w:rsidR="00F44D72" w:rsidRDefault="000262F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Av. Colombo, 5790 – Bloco P-02 – Maringá – PR;</w:t>
    </w:r>
  </w:p>
  <w:p w:rsidR="00F44D72" w:rsidRDefault="000262F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Departamento de Farmácia – Programa de Pós-Graduação em Assistência Farmacêutica - PROFAR</w:t>
    </w:r>
  </w:p>
  <w:p w:rsidR="00F44D72" w:rsidRDefault="00F44F3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8"/>
        <w:szCs w:val="18"/>
      </w:rPr>
    </w:pPr>
    <w:hyperlink r:id="rId1">
      <w:r w:rsidR="000262FF">
        <w:rPr>
          <w:rFonts w:ascii="Arial" w:eastAsia="Arial" w:hAnsi="Arial" w:cs="Arial"/>
          <w:color w:val="0000FF"/>
          <w:sz w:val="18"/>
          <w:szCs w:val="18"/>
          <w:u w:val="single"/>
        </w:rPr>
        <w:t>www.uem.br</w:t>
      </w:r>
    </w:hyperlink>
    <w:r w:rsidR="000262FF">
      <w:rPr>
        <w:rFonts w:ascii="Arial" w:eastAsia="Arial" w:hAnsi="Arial" w:cs="Arial"/>
        <w:color w:val="000000"/>
        <w:sz w:val="18"/>
        <w:szCs w:val="18"/>
      </w:rPr>
      <w:t xml:space="preserve"> – </w:t>
    </w:r>
    <w:hyperlink r:id="rId2">
      <w:r w:rsidR="000262FF">
        <w:rPr>
          <w:rFonts w:ascii="Arial" w:eastAsia="Arial" w:hAnsi="Arial" w:cs="Arial"/>
          <w:color w:val="0000FF"/>
          <w:sz w:val="18"/>
          <w:szCs w:val="18"/>
          <w:u w:val="single"/>
        </w:rPr>
        <w:t>sec-profar@uem.br</w:t>
      </w:r>
    </w:hyperlink>
    <w:r w:rsidR="000262FF">
      <w:rPr>
        <w:rFonts w:ascii="Arial" w:eastAsia="Arial" w:hAnsi="Arial" w:cs="Arial"/>
        <w:color w:val="000000"/>
        <w:sz w:val="18"/>
        <w:szCs w:val="18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D72" w:rsidRDefault="00F44D7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</w:p>
  <w:p w:rsidR="00F44D72" w:rsidRDefault="00F44D7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278" w:rsidRDefault="00F95278" w:rsidP="00F44D72">
      <w:r>
        <w:separator/>
      </w:r>
    </w:p>
  </w:footnote>
  <w:footnote w:type="continuationSeparator" w:id="0">
    <w:p w:rsidR="00F95278" w:rsidRDefault="00F95278" w:rsidP="00F44D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D72" w:rsidRDefault="00F44D72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 Narrow" w:eastAsia="Arial Narrow" w:hAnsi="Arial Narrow" w:cs="Arial Narrow"/>
        <w:color w:val="000000"/>
        <w:sz w:val="24"/>
        <w:szCs w:val="24"/>
      </w:rPr>
    </w:pPr>
  </w:p>
  <w:tbl>
    <w:tblPr>
      <w:tblStyle w:val="a0"/>
      <w:tblW w:w="9805" w:type="dxa"/>
      <w:jc w:val="center"/>
      <w:tblInd w:w="0" w:type="dxa"/>
      <w:tblLayout w:type="fixed"/>
      <w:tblLook w:val="0000"/>
    </w:tblPr>
    <w:tblGrid>
      <w:gridCol w:w="1246"/>
      <w:gridCol w:w="6579"/>
      <w:gridCol w:w="1980"/>
    </w:tblGrid>
    <w:tr w:rsidR="00F44D72">
      <w:trPr>
        <w:trHeight w:val="841"/>
        <w:jc w:val="center"/>
      </w:trPr>
      <w:tc>
        <w:tcPr>
          <w:tcW w:w="1246" w:type="dxa"/>
          <w:vAlign w:val="center"/>
        </w:tcPr>
        <w:p w:rsidR="00F44D72" w:rsidRDefault="000262FF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-42" w:right="360"/>
            <w:jc w:val="center"/>
            <w:rPr>
              <w:rFonts w:ascii="Arial Rounded" w:eastAsia="Arial Rounded" w:hAnsi="Arial Rounded" w:cs="Arial Rounded"/>
              <w:b/>
              <w:color w:val="000000"/>
            </w:rPr>
          </w:pPr>
          <w:r>
            <w:rPr>
              <w:rFonts w:ascii="Tahoma" w:eastAsia="Tahoma" w:hAnsi="Tahoma" w:cs="Tahoma"/>
              <w:noProof/>
              <w:color w:val="000000"/>
              <w:sz w:val="28"/>
              <w:szCs w:val="28"/>
            </w:rPr>
            <w:drawing>
              <wp:inline distT="0" distB="0" distL="114300" distR="114300">
                <wp:extent cx="714375" cy="704215"/>
                <wp:effectExtent l="0" t="0" r="0" b="0"/>
                <wp:docPr id="3" name="image1.jpg" descr="LogoUEM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UEM1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7042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9" w:type="dxa"/>
          <w:vAlign w:val="center"/>
        </w:tcPr>
        <w:p w:rsidR="00F44D72" w:rsidRDefault="000262FF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 Narrow" w:eastAsia="Arial Narrow" w:hAnsi="Arial Narrow" w:cs="Arial Narrow"/>
              <w:color w:val="000000"/>
              <w:sz w:val="44"/>
              <w:szCs w:val="44"/>
            </w:rPr>
          </w:pPr>
          <w:r>
            <w:rPr>
              <w:rFonts w:ascii="Arial Narrow" w:eastAsia="Arial Narrow" w:hAnsi="Arial Narrow" w:cs="Arial Narrow"/>
              <w:color w:val="000000"/>
              <w:sz w:val="44"/>
              <w:szCs w:val="44"/>
            </w:rPr>
            <w:t>Universidade Estadual de Maringá</w:t>
          </w:r>
        </w:p>
        <w:p w:rsidR="00F44D72" w:rsidRDefault="000262FF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 Narrow" w:eastAsia="Arial Narrow" w:hAnsi="Arial Narrow" w:cs="Arial Narrow"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i/>
              <w:color w:val="000000"/>
              <w:sz w:val="24"/>
              <w:szCs w:val="24"/>
            </w:rPr>
            <w:t>Departamento de Farmácia</w:t>
          </w:r>
        </w:p>
        <w:p w:rsidR="00F44D72" w:rsidRDefault="000262FF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orsiva" w:eastAsia="Corsiva" w:hAnsi="Corsiva" w:cs="Corsiva"/>
              <w:color w:val="000000"/>
            </w:rPr>
          </w:pPr>
          <w:r>
            <w:rPr>
              <w:rFonts w:ascii="Arial Narrow" w:eastAsia="Arial Narrow" w:hAnsi="Arial Narrow" w:cs="Arial Narrow"/>
              <w:i/>
              <w:color w:val="000000"/>
              <w:sz w:val="24"/>
              <w:szCs w:val="24"/>
            </w:rPr>
            <w:t>Programa de Pós-Graduação em Assistência Farmacêutica - PROFAR</w:t>
          </w:r>
        </w:p>
      </w:tc>
      <w:tc>
        <w:tcPr>
          <w:tcW w:w="1980" w:type="dxa"/>
          <w:vAlign w:val="center"/>
        </w:tcPr>
        <w:p w:rsidR="00F44D72" w:rsidRDefault="000262FF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right="214"/>
            <w:jc w:val="center"/>
            <w:rPr>
              <w:rFonts w:ascii="Tahoma" w:eastAsia="Tahoma" w:hAnsi="Tahoma" w:cs="Tahoma"/>
              <w:color w:val="000000"/>
              <w:sz w:val="28"/>
              <w:szCs w:val="28"/>
            </w:rPr>
          </w:pPr>
          <w:r>
            <w:rPr>
              <w:rFonts w:ascii="Tahoma" w:eastAsia="Tahoma" w:hAnsi="Tahoma" w:cs="Tahoma"/>
              <w:b/>
              <w:noProof/>
              <w:color w:val="000000"/>
              <w:sz w:val="28"/>
              <w:szCs w:val="28"/>
            </w:rPr>
            <w:drawing>
              <wp:inline distT="0" distB="0" distL="114300" distR="114300">
                <wp:extent cx="1056005" cy="721995"/>
                <wp:effectExtent l="0" t="0" r="0" b="0"/>
                <wp:docPr id="2" name="image2.png" descr="PROFAR 4D - FONTE ARIAL b - Cópi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PROFAR 4D - FONTE ARIAL b - Cópia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6005" cy="7219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F44D72" w:rsidRDefault="00F44D7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F44D72" w:rsidRDefault="00F44D7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D72" w:rsidRDefault="00F44D72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9624" w:type="dxa"/>
      <w:tblInd w:w="-14" w:type="dxa"/>
      <w:tblLayout w:type="fixed"/>
      <w:tblLook w:val="0000"/>
    </w:tblPr>
    <w:tblGrid>
      <w:gridCol w:w="1246"/>
      <w:gridCol w:w="6398"/>
      <w:gridCol w:w="1980"/>
    </w:tblGrid>
    <w:tr w:rsidR="00F44D72">
      <w:trPr>
        <w:trHeight w:val="841"/>
      </w:trPr>
      <w:tc>
        <w:tcPr>
          <w:tcW w:w="1246" w:type="dxa"/>
          <w:vAlign w:val="center"/>
        </w:tcPr>
        <w:p w:rsidR="00F44D72" w:rsidRDefault="000262FF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-695" w:right="360" w:firstLine="695"/>
            <w:jc w:val="center"/>
            <w:rPr>
              <w:rFonts w:ascii="Arial Rounded" w:eastAsia="Arial Rounded" w:hAnsi="Arial Rounded" w:cs="Arial Rounded"/>
              <w:b/>
              <w:color w:val="000000"/>
            </w:rPr>
          </w:pPr>
          <w:r>
            <w:rPr>
              <w:rFonts w:ascii="Tahoma" w:eastAsia="Tahoma" w:hAnsi="Tahoma" w:cs="Tahoma"/>
              <w:noProof/>
              <w:color w:val="000000"/>
              <w:sz w:val="28"/>
              <w:szCs w:val="28"/>
            </w:rPr>
            <w:drawing>
              <wp:inline distT="0" distB="0" distL="114300" distR="114300">
                <wp:extent cx="658495" cy="701040"/>
                <wp:effectExtent l="0" t="0" r="0" b="0"/>
                <wp:docPr id="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8495" cy="7010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8" w:type="dxa"/>
          <w:vAlign w:val="center"/>
        </w:tcPr>
        <w:p w:rsidR="00F44D72" w:rsidRDefault="000262FF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 Narrow" w:eastAsia="Arial Narrow" w:hAnsi="Arial Narrow" w:cs="Arial Narrow"/>
              <w:color w:val="000000"/>
              <w:sz w:val="44"/>
              <w:szCs w:val="44"/>
            </w:rPr>
          </w:pPr>
          <w:r>
            <w:rPr>
              <w:rFonts w:ascii="Arial Narrow" w:eastAsia="Arial Narrow" w:hAnsi="Arial Narrow" w:cs="Arial Narrow"/>
              <w:color w:val="000000"/>
              <w:sz w:val="44"/>
              <w:szCs w:val="44"/>
            </w:rPr>
            <w:t>Universidade Estadual de Maringá</w:t>
          </w:r>
        </w:p>
        <w:p w:rsidR="00F44D72" w:rsidRDefault="000262FF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 Narrow" w:eastAsia="Arial Narrow" w:hAnsi="Arial Narrow" w:cs="Arial Narrow"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i/>
              <w:color w:val="000000"/>
              <w:sz w:val="24"/>
              <w:szCs w:val="24"/>
            </w:rPr>
            <w:t>Departamento de Farmácia</w:t>
          </w:r>
        </w:p>
        <w:p w:rsidR="00F44D72" w:rsidRDefault="000262FF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orsiva" w:eastAsia="Corsiva" w:hAnsi="Corsiva" w:cs="Corsiva"/>
              <w:color w:val="000000"/>
            </w:rPr>
          </w:pPr>
          <w:r>
            <w:rPr>
              <w:rFonts w:ascii="Arial Narrow" w:eastAsia="Arial Narrow" w:hAnsi="Arial Narrow" w:cs="Arial Narrow"/>
              <w:i/>
              <w:color w:val="000000"/>
              <w:sz w:val="24"/>
              <w:szCs w:val="24"/>
            </w:rPr>
            <w:t>Programa de Pós-Graduação em Assistência Farmacêutica - PROFAR</w:t>
          </w:r>
        </w:p>
      </w:tc>
      <w:tc>
        <w:tcPr>
          <w:tcW w:w="1980" w:type="dxa"/>
          <w:vAlign w:val="center"/>
        </w:tcPr>
        <w:p w:rsidR="00F44D72" w:rsidRDefault="000262FF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right="214"/>
            <w:jc w:val="center"/>
            <w:rPr>
              <w:rFonts w:ascii="Tahoma" w:eastAsia="Tahoma" w:hAnsi="Tahoma" w:cs="Tahoma"/>
              <w:color w:val="000000"/>
              <w:sz w:val="28"/>
              <w:szCs w:val="28"/>
            </w:rPr>
          </w:pPr>
          <w:r>
            <w:rPr>
              <w:rFonts w:ascii="Tahoma" w:eastAsia="Tahoma" w:hAnsi="Tahoma" w:cs="Tahoma"/>
              <w:b/>
              <w:noProof/>
              <w:color w:val="000000"/>
              <w:sz w:val="28"/>
              <w:szCs w:val="28"/>
            </w:rPr>
            <w:drawing>
              <wp:inline distT="0" distB="0" distL="114300" distR="114300">
                <wp:extent cx="1160780" cy="721995"/>
                <wp:effectExtent l="0" t="0" r="0" b="0"/>
                <wp:docPr id="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0780" cy="7219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F44D72" w:rsidRDefault="00F44D7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730C"/>
    <w:multiLevelType w:val="multilevel"/>
    <w:tmpl w:val="EA404CEA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color w:val="000000"/>
        <w:vertAlign w:val="baseline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color w:val="000000"/>
        <w:vertAlign w:val="baseline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color w:val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color w:val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color w:val="000000"/>
        <w:vertAlign w:val="baseline"/>
      </w:rPr>
    </w:lvl>
  </w:abstractNum>
  <w:abstractNum w:abstractNumId="1">
    <w:nsid w:val="16C36E5D"/>
    <w:multiLevelType w:val="multilevel"/>
    <w:tmpl w:val="861C615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2126FC8"/>
    <w:multiLevelType w:val="multilevel"/>
    <w:tmpl w:val="4558B274"/>
    <w:lvl w:ilvl="0">
      <w:start w:val="1"/>
      <w:numFmt w:val="decimal"/>
      <w:lvlText w:val="%1."/>
      <w:lvlJc w:val="left"/>
      <w:pPr>
        <w:ind w:left="56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8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0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2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4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6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8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0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27" w:hanging="180"/>
      </w:pPr>
      <w:rPr>
        <w:vertAlign w:val="baseline"/>
      </w:rPr>
    </w:lvl>
  </w:abstractNum>
  <w:abstractNum w:abstractNumId="3">
    <w:nsid w:val="5C236AEB"/>
    <w:multiLevelType w:val="multilevel"/>
    <w:tmpl w:val="1CAA240A"/>
    <w:lvl w:ilvl="0">
      <w:start w:val="1"/>
      <w:numFmt w:val="decimal"/>
      <w:lvlText w:val="%1."/>
      <w:lvlJc w:val="left"/>
      <w:pPr>
        <w:ind w:left="385" w:hanging="284"/>
      </w:pPr>
      <w:rPr>
        <w:b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95" w:hanging="286"/>
      </w:pPr>
      <w:rPr>
        <w:rFonts w:ascii="Arial" w:eastAsia="Arial" w:hAnsi="Arial" w:cs="Arial"/>
        <w:sz w:val="24"/>
        <w:szCs w:val="24"/>
        <w:vertAlign w:val="baseline"/>
      </w:rPr>
    </w:lvl>
    <w:lvl w:ilvl="3">
      <w:start w:val="1"/>
      <w:numFmt w:val="bullet"/>
      <w:lvlText w:val="•"/>
      <w:lvlJc w:val="left"/>
      <w:pPr>
        <w:ind w:left="1100" w:hanging="286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2258" w:hanging="285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3416" w:hanging="286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4574" w:hanging="286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5732" w:hanging="286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6890" w:hanging="286"/>
      </w:pPr>
      <w:rPr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D72"/>
    <w:rsid w:val="000262FF"/>
    <w:rsid w:val="00081C7B"/>
    <w:rsid w:val="000D2234"/>
    <w:rsid w:val="000E69E4"/>
    <w:rsid w:val="00152548"/>
    <w:rsid w:val="00356FAA"/>
    <w:rsid w:val="00470763"/>
    <w:rsid w:val="00705D3F"/>
    <w:rsid w:val="009E3688"/>
    <w:rsid w:val="00AA3699"/>
    <w:rsid w:val="00B0150B"/>
    <w:rsid w:val="00BD572C"/>
    <w:rsid w:val="00C96E0D"/>
    <w:rsid w:val="00CA67B9"/>
    <w:rsid w:val="00EA0DFB"/>
    <w:rsid w:val="00F22917"/>
    <w:rsid w:val="00F3337D"/>
    <w:rsid w:val="00F44D72"/>
    <w:rsid w:val="00F44F33"/>
    <w:rsid w:val="00F613D8"/>
    <w:rsid w:val="00F9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C7B"/>
  </w:style>
  <w:style w:type="paragraph" w:styleId="Ttulo1">
    <w:name w:val="heading 1"/>
    <w:basedOn w:val="normal0"/>
    <w:next w:val="normal0"/>
    <w:rsid w:val="00F44D72"/>
    <w:pPr>
      <w:widowControl w:val="0"/>
      <w:ind w:left="385"/>
      <w:outlineLvl w:val="0"/>
    </w:pPr>
    <w:rPr>
      <w:rFonts w:ascii="Arial" w:eastAsia="Arial" w:hAnsi="Arial" w:cs="Arial"/>
      <w:b/>
      <w:sz w:val="24"/>
      <w:szCs w:val="24"/>
    </w:rPr>
  </w:style>
  <w:style w:type="paragraph" w:styleId="Ttulo2">
    <w:name w:val="heading 2"/>
    <w:basedOn w:val="normal0"/>
    <w:next w:val="normal0"/>
    <w:rsid w:val="00F44D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44D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44D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F44D7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F44D72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44D72"/>
  </w:style>
  <w:style w:type="table" w:customStyle="1" w:styleId="TableNormal">
    <w:name w:val="Table Normal"/>
    <w:rsid w:val="00F44D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44D7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44D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4D7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44D7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F44D7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613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tes.eum.br/profar" TargetMode="External"/><Relationship Id="rId13" Type="http://schemas.openxmlformats.org/officeDocument/2006/relationships/hyperlink" Target="http://loja.grupoa.com.br/autor/laurence-l-brunton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ites.eum.br/profar" TargetMode="External"/><Relationship Id="rId12" Type="http://schemas.openxmlformats.org/officeDocument/2006/relationships/hyperlink" Target="http://www.sites.uem.br/profar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tes.uem.br/profa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oja.grupoa.com.br/autor/bjorn-c-knollmann.aspx" TargetMode="External"/><Relationship Id="rId10" Type="http://schemas.openxmlformats.org/officeDocument/2006/relationships/hyperlink" Target="http://www.sites.uem.br/profar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loja.grupoa.com.br/autor/bruce-a-chabner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-profar@uem.br" TargetMode="External"/><Relationship Id="rId1" Type="http://schemas.openxmlformats.org/officeDocument/2006/relationships/hyperlink" Target="http://www.ue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2816</Words>
  <Characters>15209</Characters>
  <Application>Microsoft Office Word</Application>
  <DocSecurity>0</DocSecurity>
  <Lines>126</Lines>
  <Paragraphs>35</Paragraphs>
  <ScaleCrop>false</ScaleCrop>
  <Company/>
  <LinksUpToDate>false</LinksUpToDate>
  <CharactersWithSpaces>17990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profar</dc:creator>
  <cp:lastModifiedBy>Farmácia</cp:lastModifiedBy>
  <cp:revision>2</cp:revision>
  <dcterms:created xsi:type="dcterms:W3CDTF">2020-03-16T12:29:00Z</dcterms:created>
  <dcterms:modified xsi:type="dcterms:W3CDTF">2020-03-16T12:29:00Z</dcterms:modified>
</cp:coreProperties>
</file>